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784A" w14:textId="77777777" w:rsidR="008B5710" w:rsidRPr="0085280D" w:rsidRDefault="008B5710" w:rsidP="008B5710">
      <w:pPr>
        <w:spacing w:after="0" w:line="480" w:lineRule="auto"/>
        <w:rPr>
          <w:rFonts w:ascii="Times New Roman" w:hAnsi="Times New Roman"/>
          <w:b/>
          <w:bCs/>
          <w:sz w:val="24"/>
          <w:szCs w:val="24"/>
        </w:rPr>
      </w:pPr>
      <w:bookmarkStart w:id="0" w:name="_Hlk70686944"/>
      <w:bookmarkStart w:id="1" w:name="_Hlk84013501"/>
      <w:r w:rsidRPr="0085280D">
        <w:rPr>
          <w:rFonts w:ascii="Times New Roman" w:hAnsi="Times New Roman"/>
          <w:b/>
          <w:bCs/>
          <w:sz w:val="24"/>
          <w:szCs w:val="24"/>
        </w:rPr>
        <w:t xml:space="preserve">Presenting the case for implementing entrustable professional activities (EPA) in Sport and Exercise Sciences teaching: </w:t>
      </w:r>
      <w:bookmarkEnd w:id="0"/>
      <w:r w:rsidRPr="0085280D">
        <w:rPr>
          <w:rFonts w:ascii="Times New Roman" w:hAnsi="Times New Roman"/>
          <w:b/>
          <w:bCs/>
          <w:sz w:val="24"/>
          <w:szCs w:val="24"/>
        </w:rPr>
        <w:t>Application and alignment to develop student competencies.</w:t>
      </w:r>
    </w:p>
    <w:p w14:paraId="77DD9B73" w14:textId="77777777" w:rsidR="008B5710" w:rsidRPr="00CE6E35" w:rsidRDefault="008B5710" w:rsidP="008B5710">
      <w:pPr>
        <w:pStyle w:val="APAcentretitle"/>
        <w:jc w:val="left"/>
        <w:rPr>
          <w:rFonts w:eastAsia="Times"/>
          <w:szCs w:val="24"/>
        </w:rPr>
      </w:pPr>
      <w:r w:rsidRPr="00CE6E35">
        <w:rPr>
          <w:rFonts w:eastAsia="Times"/>
          <w:szCs w:val="24"/>
        </w:rPr>
        <w:t>Research</w:t>
      </w:r>
      <w:r>
        <w:rPr>
          <w:rFonts w:eastAsia="Times"/>
          <w:szCs w:val="24"/>
        </w:rPr>
        <w:t xml:space="preserve"> Article</w:t>
      </w:r>
    </w:p>
    <w:p w14:paraId="0BA192A0" w14:textId="77777777" w:rsidR="008B5710" w:rsidRPr="00CE6E35" w:rsidRDefault="008B5710" w:rsidP="008B5710">
      <w:pPr>
        <w:pStyle w:val="APAcentretitle"/>
        <w:jc w:val="left"/>
        <w:rPr>
          <w:rFonts w:eastAsia="Times"/>
          <w:szCs w:val="24"/>
        </w:rPr>
      </w:pPr>
      <w:bookmarkStart w:id="2" w:name="_Hlk84008243"/>
      <w:r w:rsidRPr="00CE6E35">
        <w:rPr>
          <w:rFonts w:eastAsia="Times"/>
          <w:szCs w:val="24"/>
        </w:rPr>
        <w:t xml:space="preserve">Keywords: </w:t>
      </w:r>
      <w:r w:rsidRPr="00CE6E35">
        <w:rPr>
          <w:i/>
          <w:iCs/>
          <w:szCs w:val="24"/>
        </w:rPr>
        <w:t>Higher Education, Pedagogic Development, Sport Sciences, Accreditation</w:t>
      </w:r>
    </w:p>
    <w:bookmarkEnd w:id="2"/>
    <w:p w14:paraId="5082C3BD" w14:textId="77777777" w:rsidR="008B5710" w:rsidRDefault="008B5710" w:rsidP="008B5710">
      <w:pPr>
        <w:pStyle w:val="BodyText"/>
        <w:spacing w:after="0" w:line="480" w:lineRule="auto"/>
        <w:rPr>
          <w:sz w:val="24"/>
          <w:szCs w:val="24"/>
        </w:rPr>
      </w:pPr>
    </w:p>
    <w:p w14:paraId="439C0BAB" w14:textId="77777777" w:rsidR="008B5710" w:rsidRPr="00CE6E35" w:rsidRDefault="008B5710" w:rsidP="008B5710">
      <w:pPr>
        <w:pStyle w:val="BodyText"/>
        <w:spacing w:after="0" w:line="480" w:lineRule="auto"/>
        <w:rPr>
          <w:sz w:val="24"/>
          <w:szCs w:val="24"/>
          <w:vertAlign w:val="superscript"/>
        </w:rPr>
      </w:pPr>
      <w:proofErr w:type="spellStart"/>
      <w:r w:rsidRPr="00CE6E35">
        <w:rPr>
          <w:sz w:val="24"/>
          <w:szCs w:val="24"/>
        </w:rPr>
        <w:t>Dr.</w:t>
      </w:r>
      <w:proofErr w:type="spellEnd"/>
      <w:r w:rsidRPr="00CE6E35">
        <w:rPr>
          <w:sz w:val="24"/>
          <w:szCs w:val="24"/>
        </w:rPr>
        <w:t xml:space="preserve"> Eddie J. </w:t>
      </w:r>
      <w:proofErr w:type="spellStart"/>
      <w:r w:rsidRPr="00CE6E35">
        <w:rPr>
          <w:sz w:val="24"/>
          <w:szCs w:val="24"/>
        </w:rPr>
        <w:t>Bradley</w:t>
      </w:r>
      <w:r w:rsidRPr="00CE6E35">
        <w:rPr>
          <w:sz w:val="24"/>
          <w:szCs w:val="24"/>
          <w:vertAlign w:val="superscript"/>
        </w:rPr>
        <w:t>a</w:t>
      </w:r>
      <w:proofErr w:type="spellEnd"/>
      <w:r w:rsidRPr="00CE6E35">
        <w:rPr>
          <w:sz w:val="24"/>
          <w:szCs w:val="24"/>
        </w:rPr>
        <w:t xml:space="preserve">*, </w:t>
      </w:r>
      <w:proofErr w:type="spellStart"/>
      <w:r w:rsidRPr="00CE6E35">
        <w:rPr>
          <w:sz w:val="24"/>
          <w:szCs w:val="24"/>
        </w:rPr>
        <w:t>Dr.</w:t>
      </w:r>
      <w:proofErr w:type="spellEnd"/>
      <w:r w:rsidRPr="00CE6E35">
        <w:rPr>
          <w:sz w:val="24"/>
          <w:szCs w:val="24"/>
        </w:rPr>
        <w:t xml:space="preserve"> Lisa </w:t>
      </w:r>
      <w:proofErr w:type="spellStart"/>
      <w:r w:rsidRPr="00CE6E35">
        <w:rPr>
          <w:sz w:val="24"/>
          <w:szCs w:val="24"/>
        </w:rPr>
        <w:t>Board</w:t>
      </w:r>
      <w:r w:rsidRPr="00CE6E35">
        <w:rPr>
          <w:sz w:val="24"/>
          <w:szCs w:val="24"/>
          <w:vertAlign w:val="superscript"/>
        </w:rPr>
        <w:t>a</w:t>
      </w:r>
      <w:proofErr w:type="spellEnd"/>
      <w:r w:rsidRPr="00CE6E35">
        <w:rPr>
          <w:sz w:val="24"/>
          <w:szCs w:val="24"/>
        </w:rPr>
        <w:t xml:space="preserve">, </w:t>
      </w:r>
      <w:proofErr w:type="spellStart"/>
      <w:r w:rsidRPr="00CE6E35">
        <w:rPr>
          <w:sz w:val="24"/>
          <w:szCs w:val="24"/>
        </w:rPr>
        <w:t>Dr.</w:t>
      </w:r>
      <w:proofErr w:type="spellEnd"/>
      <w:r w:rsidRPr="00CE6E35">
        <w:rPr>
          <w:sz w:val="24"/>
          <w:szCs w:val="24"/>
        </w:rPr>
        <w:t xml:space="preserve"> David </w:t>
      </w:r>
      <w:proofErr w:type="spellStart"/>
      <w:r w:rsidRPr="00CE6E35">
        <w:rPr>
          <w:sz w:val="24"/>
          <w:szCs w:val="24"/>
        </w:rPr>
        <w:t>Archer</w:t>
      </w:r>
      <w:r w:rsidRPr="00CE6E35">
        <w:rPr>
          <w:sz w:val="24"/>
          <w:szCs w:val="24"/>
          <w:vertAlign w:val="superscript"/>
        </w:rPr>
        <w:t>a</w:t>
      </w:r>
      <w:proofErr w:type="spellEnd"/>
      <w:r w:rsidRPr="00CE6E35">
        <w:rPr>
          <w:sz w:val="24"/>
          <w:szCs w:val="24"/>
        </w:rPr>
        <w:t xml:space="preserve">, &amp; Mikeala </w:t>
      </w:r>
      <w:proofErr w:type="spellStart"/>
      <w:r w:rsidRPr="00CE6E35">
        <w:rPr>
          <w:sz w:val="24"/>
          <w:szCs w:val="24"/>
        </w:rPr>
        <w:t>Morgan</w:t>
      </w:r>
      <w:r>
        <w:rPr>
          <w:sz w:val="24"/>
          <w:szCs w:val="24"/>
        </w:rPr>
        <w:t>s</w:t>
      </w:r>
      <w:r w:rsidRPr="00CE6E35">
        <w:rPr>
          <w:sz w:val="24"/>
          <w:szCs w:val="24"/>
          <w:vertAlign w:val="superscript"/>
        </w:rPr>
        <w:t>b</w:t>
      </w:r>
      <w:proofErr w:type="spellEnd"/>
    </w:p>
    <w:p w14:paraId="54786913" w14:textId="77777777" w:rsidR="008B5710" w:rsidRPr="00CE6E35" w:rsidRDefault="008B5710" w:rsidP="008B5710">
      <w:pPr>
        <w:spacing w:after="0" w:line="480" w:lineRule="auto"/>
        <w:rPr>
          <w:rFonts w:ascii="Times New Roman" w:hAnsi="Times New Roman"/>
          <w:sz w:val="24"/>
          <w:szCs w:val="24"/>
        </w:rPr>
      </w:pPr>
      <w:proofErr w:type="spellStart"/>
      <w:r w:rsidRPr="00CE6E35">
        <w:rPr>
          <w:rFonts w:ascii="Times New Roman" w:hAnsi="Times New Roman"/>
          <w:sz w:val="24"/>
          <w:szCs w:val="24"/>
          <w:vertAlign w:val="superscript"/>
        </w:rPr>
        <w:t>a</w:t>
      </w:r>
      <w:r w:rsidRPr="00CE6E35">
        <w:rPr>
          <w:rFonts w:ascii="Times New Roman" w:hAnsi="Times New Roman"/>
          <w:sz w:val="24"/>
          <w:szCs w:val="24"/>
        </w:rPr>
        <w:t>Faculty</w:t>
      </w:r>
      <w:proofErr w:type="spellEnd"/>
      <w:r w:rsidRPr="00CE6E35">
        <w:rPr>
          <w:rFonts w:ascii="Times New Roman" w:hAnsi="Times New Roman"/>
          <w:sz w:val="24"/>
          <w:szCs w:val="24"/>
        </w:rPr>
        <w:t xml:space="preserve"> of Health Sciences and Wellbeing, City Campus, University of Sunderland, </w:t>
      </w:r>
      <w:r w:rsidRPr="00CE6E35">
        <w:rPr>
          <w:rFonts w:ascii="Times New Roman" w:hAnsi="Times New Roman"/>
          <w:color w:val="000000"/>
          <w:sz w:val="24"/>
          <w:szCs w:val="24"/>
        </w:rPr>
        <w:t xml:space="preserve">Sunderland, SR1 3SD, </w:t>
      </w:r>
      <w:r w:rsidRPr="00CE6E35">
        <w:rPr>
          <w:rFonts w:ascii="Times New Roman" w:hAnsi="Times New Roman"/>
          <w:sz w:val="24"/>
          <w:szCs w:val="24"/>
        </w:rPr>
        <w:t>United Kingdom</w:t>
      </w:r>
      <w:r w:rsidRPr="00CE6E35">
        <w:rPr>
          <w:rFonts w:ascii="Times New Roman" w:hAnsi="Times New Roman"/>
          <w:color w:val="000000"/>
          <w:sz w:val="24"/>
          <w:szCs w:val="24"/>
        </w:rPr>
        <w:t>.</w:t>
      </w:r>
      <w:r w:rsidRPr="00CE6E35">
        <w:rPr>
          <w:rFonts w:ascii="Times New Roman" w:hAnsi="Times New Roman"/>
          <w:sz w:val="24"/>
          <w:szCs w:val="24"/>
        </w:rPr>
        <w:t xml:space="preserve"> </w:t>
      </w:r>
    </w:p>
    <w:p w14:paraId="2A63E275" w14:textId="77777777" w:rsidR="008B5710" w:rsidRPr="00CE6E35" w:rsidRDefault="008B5710" w:rsidP="008B5710">
      <w:pPr>
        <w:spacing w:after="0" w:line="480" w:lineRule="auto"/>
        <w:rPr>
          <w:rFonts w:ascii="Times New Roman" w:hAnsi="Times New Roman"/>
          <w:sz w:val="24"/>
          <w:szCs w:val="24"/>
        </w:rPr>
      </w:pPr>
      <w:proofErr w:type="spellStart"/>
      <w:r w:rsidRPr="00CE6E35">
        <w:rPr>
          <w:rFonts w:ascii="Times New Roman" w:hAnsi="Times New Roman"/>
          <w:sz w:val="24"/>
          <w:szCs w:val="24"/>
          <w:vertAlign w:val="superscript"/>
        </w:rPr>
        <w:t>b</w:t>
      </w:r>
      <w:r w:rsidRPr="00CE6E35">
        <w:rPr>
          <w:rFonts w:ascii="Times New Roman" w:hAnsi="Times New Roman"/>
          <w:sz w:val="24"/>
          <w:szCs w:val="24"/>
        </w:rPr>
        <w:t>Faculty</w:t>
      </w:r>
      <w:proofErr w:type="spellEnd"/>
      <w:r w:rsidRPr="00CE6E35">
        <w:rPr>
          <w:rFonts w:ascii="Times New Roman" w:hAnsi="Times New Roman"/>
          <w:sz w:val="24"/>
          <w:szCs w:val="24"/>
        </w:rPr>
        <w:t xml:space="preserve"> of Education and Society, St Peter’s Campus, University of Sunderland, </w:t>
      </w:r>
      <w:r w:rsidRPr="00CE6E35">
        <w:rPr>
          <w:rFonts w:ascii="Times New Roman" w:hAnsi="Times New Roman"/>
          <w:color w:val="000000"/>
          <w:sz w:val="24"/>
          <w:szCs w:val="24"/>
        </w:rPr>
        <w:t xml:space="preserve">Sunderland, SR1 3SD, </w:t>
      </w:r>
      <w:r w:rsidRPr="00CE6E35">
        <w:rPr>
          <w:rFonts w:ascii="Times New Roman" w:hAnsi="Times New Roman"/>
          <w:sz w:val="24"/>
          <w:szCs w:val="24"/>
        </w:rPr>
        <w:t>United Kingdom</w:t>
      </w:r>
      <w:r w:rsidRPr="00CE6E35">
        <w:rPr>
          <w:rFonts w:ascii="Times New Roman" w:hAnsi="Times New Roman"/>
          <w:color w:val="000000"/>
          <w:sz w:val="24"/>
          <w:szCs w:val="24"/>
        </w:rPr>
        <w:t>.</w:t>
      </w:r>
    </w:p>
    <w:p w14:paraId="54F37333" w14:textId="77777777" w:rsidR="008B5710" w:rsidRPr="00CE6E35" w:rsidRDefault="008B5710" w:rsidP="008B5710">
      <w:pPr>
        <w:spacing w:after="0" w:line="480" w:lineRule="auto"/>
        <w:rPr>
          <w:rFonts w:ascii="Times New Roman" w:hAnsi="Times New Roman"/>
          <w:sz w:val="24"/>
          <w:szCs w:val="24"/>
        </w:rPr>
      </w:pPr>
      <w:r w:rsidRPr="00CE6E35">
        <w:rPr>
          <w:rFonts w:ascii="Times New Roman" w:hAnsi="Times New Roman"/>
          <w:sz w:val="24"/>
          <w:szCs w:val="24"/>
        </w:rPr>
        <w:t xml:space="preserve">*Corresponding author. </w:t>
      </w:r>
      <w:hyperlink r:id="rId9" w:history="1">
        <w:r w:rsidRPr="00CE6E35">
          <w:rPr>
            <w:rStyle w:val="Hyperlink"/>
            <w:rFonts w:ascii="Times New Roman" w:hAnsi="Times New Roman"/>
            <w:sz w:val="24"/>
            <w:szCs w:val="24"/>
          </w:rPr>
          <w:t>eddie.bradley@sunderland.ac.uk</w:t>
        </w:r>
      </w:hyperlink>
      <w:r w:rsidRPr="00CE6E35">
        <w:rPr>
          <w:rFonts w:ascii="Times New Roman" w:hAnsi="Times New Roman"/>
          <w:sz w:val="24"/>
          <w:szCs w:val="24"/>
        </w:rPr>
        <w:t xml:space="preserve">; ORCID: </w:t>
      </w:r>
      <w:r w:rsidRPr="00CE6E35">
        <w:rPr>
          <w:rFonts w:ascii="Times New Roman" w:hAnsi="Times New Roman"/>
          <w:color w:val="494A4C"/>
          <w:sz w:val="24"/>
          <w:szCs w:val="24"/>
          <w:shd w:val="clear" w:color="auto" w:fill="FFFFFF"/>
        </w:rPr>
        <w:t>0000-0003-3518-3305; Twitter: @DrEddieBradley</w:t>
      </w:r>
      <w:bookmarkEnd w:id="1"/>
    </w:p>
    <w:p w14:paraId="3C1BC5C7" w14:textId="77777777" w:rsidR="007637C9" w:rsidRDefault="007637C9" w:rsidP="007637C9">
      <w:pPr>
        <w:spacing w:after="120" w:line="480" w:lineRule="auto"/>
        <w:rPr>
          <w:rFonts w:ascii="Times New Roman" w:hAnsi="Times New Roman" w:cs="Times New Roman"/>
          <w:b/>
          <w:sz w:val="24"/>
          <w:szCs w:val="24"/>
        </w:rPr>
      </w:pPr>
    </w:p>
    <w:p w14:paraId="7922F802" w14:textId="77777777" w:rsidR="007637C9" w:rsidRDefault="007637C9" w:rsidP="007637C9">
      <w:pPr>
        <w:spacing w:after="120" w:line="480" w:lineRule="auto"/>
        <w:rPr>
          <w:rFonts w:ascii="Times New Roman" w:hAnsi="Times New Roman" w:cs="Times New Roman"/>
          <w:b/>
          <w:sz w:val="24"/>
          <w:szCs w:val="24"/>
        </w:rPr>
      </w:pPr>
    </w:p>
    <w:p w14:paraId="5C306359" w14:textId="77777777" w:rsidR="007637C9" w:rsidRDefault="007637C9" w:rsidP="007637C9">
      <w:pPr>
        <w:spacing w:after="120" w:line="480" w:lineRule="auto"/>
        <w:rPr>
          <w:rFonts w:ascii="Times New Roman" w:hAnsi="Times New Roman" w:cs="Times New Roman"/>
          <w:b/>
          <w:sz w:val="24"/>
          <w:szCs w:val="24"/>
        </w:rPr>
      </w:pPr>
    </w:p>
    <w:p w14:paraId="4F303021" w14:textId="77777777" w:rsidR="007637C9" w:rsidRDefault="007637C9" w:rsidP="007637C9">
      <w:pPr>
        <w:spacing w:after="120" w:line="480" w:lineRule="auto"/>
        <w:rPr>
          <w:rFonts w:ascii="Times New Roman" w:hAnsi="Times New Roman" w:cs="Times New Roman"/>
          <w:b/>
          <w:sz w:val="24"/>
          <w:szCs w:val="24"/>
        </w:rPr>
      </w:pPr>
    </w:p>
    <w:p w14:paraId="265B568F" w14:textId="77777777" w:rsidR="007637C9" w:rsidRDefault="007637C9" w:rsidP="007637C9">
      <w:pPr>
        <w:spacing w:after="120" w:line="480" w:lineRule="auto"/>
        <w:rPr>
          <w:rFonts w:ascii="Times New Roman" w:hAnsi="Times New Roman" w:cs="Times New Roman"/>
          <w:b/>
          <w:sz w:val="24"/>
          <w:szCs w:val="24"/>
        </w:rPr>
      </w:pPr>
    </w:p>
    <w:p w14:paraId="4007AE77" w14:textId="77777777" w:rsidR="007637C9" w:rsidRDefault="007637C9" w:rsidP="007637C9">
      <w:pPr>
        <w:spacing w:after="120" w:line="480" w:lineRule="auto"/>
        <w:rPr>
          <w:rFonts w:ascii="Times New Roman" w:hAnsi="Times New Roman" w:cs="Times New Roman"/>
          <w:b/>
          <w:sz w:val="24"/>
          <w:szCs w:val="24"/>
        </w:rPr>
      </w:pPr>
    </w:p>
    <w:p w14:paraId="460E9C53" w14:textId="77777777" w:rsidR="007637C9" w:rsidRDefault="007637C9" w:rsidP="007637C9">
      <w:pPr>
        <w:spacing w:after="120" w:line="480" w:lineRule="auto"/>
        <w:rPr>
          <w:rFonts w:ascii="Times New Roman" w:hAnsi="Times New Roman" w:cs="Times New Roman"/>
          <w:b/>
          <w:sz w:val="24"/>
          <w:szCs w:val="24"/>
        </w:rPr>
      </w:pPr>
    </w:p>
    <w:p w14:paraId="6244A0CD" w14:textId="77777777" w:rsidR="007637C9" w:rsidRDefault="007637C9" w:rsidP="007637C9">
      <w:pPr>
        <w:spacing w:after="120" w:line="480" w:lineRule="auto"/>
        <w:rPr>
          <w:rFonts w:ascii="Times New Roman" w:hAnsi="Times New Roman" w:cs="Times New Roman"/>
          <w:b/>
          <w:sz w:val="24"/>
          <w:szCs w:val="24"/>
        </w:rPr>
      </w:pPr>
    </w:p>
    <w:p w14:paraId="2629DB40" w14:textId="77777777" w:rsidR="007637C9" w:rsidRDefault="007637C9" w:rsidP="007637C9">
      <w:pPr>
        <w:spacing w:after="120" w:line="480" w:lineRule="auto"/>
        <w:rPr>
          <w:rFonts w:ascii="Times New Roman" w:hAnsi="Times New Roman" w:cs="Times New Roman"/>
          <w:b/>
          <w:sz w:val="24"/>
          <w:szCs w:val="24"/>
        </w:rPr>
      </w:pPr>
    </w:p>
    <w:p w14:paraId="1268B470" w14:textId="77777777" w:rsidR="008B5710" w:rsidRDefault="008B5710" w:rsidP="007637C9">
      <w:pPr>
        <w:spacing w:after="120" w:line="480" w:lineRule="auto"/>
        <w:rPr>
          <w:rFonts w:ascii="Times New Roman" w:hAnsi="Times New Roman" w:cs="Times New Roman"/>
          <w:b/>
          <w:sz w:val="24"/>
          <w:szCs w:val="24"/>
        </w:rPr>
      </w:pPr>
    </w:p>
    <w:p w14:paraId="5D23BC72" w14:textId="73D02001" w:rsidR="00463ECC" w:rsidRPr="007637C9" w:rsidRDefault="00463ECC" w:rsidP="007637C9">
      <w:pPr>
        <w:spacing w:after="120" w:line="480" w:lineRule="auto"/>
        <w:rPr>
          <w:rFonts w:ascii="Times New Roman" w:hAnsi="Times New Roman" w:cs="Times New Roman"/>
          <w:b/>
          <w:sz w:val="24"/>
          <w:szCs w:val="24"/>
        </w:rPr>
      </w:pPr>
      <w:r w:rsidRPr="007637C9">
        <w:rPr>
          <w:rFonts w:ascii="Times New Roman" w:hAnsi="Times New Roman" w:cs="Times New Roman"/>
          <w:b/>
          <w:sz w:val="24"/>
          <w:szCs w:val="24"/>
        </w:rPr>
        <w:lastRenderedPageBreak/>
        <w:t>Abstract</w:t>
      </w:r>
    </w:p>
    <w:p w14:paraId="136F0343" w14:textId="33A90BA7" w:rsidR="0010332C" w:rsidRPr="007637C9" w:rsidRDefault="0010332C" w:rsidP="007637C9">
      <w:pPr>
        <w:tabs>
          <w:tab w:val="left" w:pos="6840"/>
        </w:tabs>
        <w:spacing w:after="120" w:line="480" w:lineRule="auto"/>
        <w:rPr>
          <w:rFonts w:ascii="Times New Roman" w:eastAsia="Times New Roman" w:hAnsi="Times New Roman" w:cs="Times New Roman"/>
          <w:color w:val="000000"/>
          <w:sz w:val="24"/>
          <w:szCs w:val="24"/>
          <w:lang w:eastAsia="en-GB"/>
        </w:rPr>
      </w:pPr>
      <w:r w:rsidRPr="007637C9">
        <w:rPr>
          <w:rFonts w:ascii="Times New Roman" w:hAnsi="Times New Roman" w:cs="Times New Roman"/>
          <w:sz w:val="24"/>
          <w:szCs w:val="24"/>
        </w:rPr>
        <w:t xml:space="preserve">Entrustable professional activities (EPA) are commonly integrated within competency frameworks across many healthcare curricula but are less evident in the training of Sport and Exercise Scientists. Equipping graduates with the key knowledge, </w:t>
      </w:r>
      <w:proofErr w:type="gramStart"/>
      <w:r w:rsidRPr="007637C9">
        <w:rPr>
          <w:rFonts w:ascii="Times New Roman" w:hAnsi="Times New Roman" w:cs="Times New Roman"/>
          <w:sz w:val="24"/>
          <w:szCs w:val="24"/>
        </w:rPr>
        <w:t>skills</w:t>
      </w:r>
      <w:proofErr w:type="gramEnd"/>
      <w:r w:rsidRPr="007637C9">
        <w:rPr>
          <w:rFonts w:ascii="Times New Roman" w:hAnsi="Times New Roman" w:cs="Times New Roman"/>
          <w:sz w:val="24"/>
          <w:szCs w:val="24"/>
        </w:rPr>
        <w:t xml:space="preserve"> and professional attributes to complete practical tasks competently with minimal supervision in the workplace is essential.  </w:t>
      </w:r>
      <w:r w:rsidR="00463ECC" w:rsidRPr="007637C9">
        <w:rPr>
          <w:rFonts w:ascii="Times New Roman" w:hAnsi="Times New Roman" w:cs="Times New Roman"/>
          <w:sz w:val="24"/>
          <w:szCs w:val="24"/>
        </w:rPr>
        <w:t xml:space="preserve">Entrustable professional activities are an indicator of practical competency within a field of work, </w:t>
      </w:r>
      <w:r w:rsidR="002C2351" w:rsidRPr="007637C9">
        <w:rPr>
          <w:rFonts w:ascii="Times New Roman" w:hAnsi="Times New Roman" w:cs="Times New Roman"/>
          <w:sz w:val="24"/>
          <w:szCs w:val="24"/>
        </w:rPr>
        <w:t xml:space="preserve">enabling </w:t>
      </w:r>
      <w:r w:rsidR="00463ECC" w:rsidRPr="007637C9">
        <w:rPr>
          <w:rFonts w:ascii="Times New Roman" w:hAnsi="Times New Roman" w:cs="Times New Roman"/>
          <w:sz w:val="24"/>
          <w:szCs w:val="24"/>
        </w:rPr>
        <w:t>students to</w:t>
      </w:r>
      <w:r w:rsidR="00B36C52" w:rsidRPr="007637C9">
        <w:rPr>
          <w:rFonts w:ascii="Times New Roman" w:hAnsi="Times New Roman" w:cs="Times New Roman"/>
          <w:sz w:val="24"/>
          <w:szCs w:val="24"/>
        </w:rPr>
        <w:t xml:space="preserve"> independently</w:t>
      </w:r>
      <w:r w:rsidR="00463ECC" w:rsidRPr="007637C9">
        <w:rPr>
          <w:rFonts w:ascii="Times New Roman" w:hAnsi="Times New Roman" w:cs="Times New Roman"/>
          <w:sz w:val="24"/>
          <w:szCs w:val="24"/>
        </w:rPr>
        <w:t xml:space="preserve"> display specific practical expertise </w:t>
      </w:r>
      <w:r w:rsidRPr="007637C9">
        <w:rPr>
          <w:rFonts w:ascii="Times New Roman" w:hAnsi="Times New Roman" w:cs="Times New Roman"/>
          <w:sz w:val="24"/>
          <w:szCs w:val="24"/>
        </w:rPr>
        <w:t>in an authentic workplace setting</w:t>
      </w:r>
      <w:r w:rsidR="00463ECC" w:rsidRPr="007637C9">
        <w:rPr>
          <w:rFonts w:ascii="Times New Roman" w:hAnsi="Times New Roman" w:cs="Times New Roman"/>
          <w:sz w:val="24"/>
          <w:szCs w:val="24"/>
        </w:rPr>
        <w:t xml:space="preserve">. The aim </w:t>
      </w:r>
      <w:r w:rsidR="002C2351" w:rsidRPr="007637C9">
        <w:rPr>
          <w:rFonts w:ascii="Times New Roman" w:hAnsi="Times New Roman" w:cs="Times New Roman"/>
          <w:sz w:val="24"/>
          <w:szCs w:val="24"/>
        </w:rPr>
        <w:t xml:space="preserve">of this paper </w:t>
      </w:r>
      <w:r w:rsidR="00463ECC" w:rsidRPr="007637C9">
        <w:rPr>
          <w:rFonts w:ascii="Times New Roman" w:hAnsi="Times New Roman" w:cs="Times New Roman"/>
          <w:sz w:val="24"/>
          <w:szCs w:val="24"/>
        </w:rPr>
        <w:t xml:space="preserve">is to </w:t>
      </w:r>
      <w:r w:rsidR="002C2054" w:rsidRPr="007637C9">
        <w:rPr>
          <w:rFonts w:ascii="Times New Roman" w:hAnsi="Times New Roman" w:cs="Times New Roman"/>
          <w:sz w:val="24"/>
          <w:szCs w:val="24"/>
        </w:rPr>
        <w:t xml:space="preserve">describe how </w:t>
      </w:r>
      <w:r w:rsidR="00463ECC" w:rsidRPr="007637C9">
        <w:rPr>
          <w:rFonts w:ascii="Times New Roman" w:hAnsi="Times New Roman" w:cs="Times New Roman"/>
          <w:sz w:val="24"/>
          <w:szCs w:val="24"/>
        </w:rPr>
        <w:t xml:space="preserve">entrustable professional activities </w:t>
      </w:r>
      <w:r w:rsidR="002C2054" w:rsidRPr="007637C9">
        <w:rPr>
          <w:rFonts w:ascii="Times New Roman" w:hAnsi="Times New Roman" w:cs="Times New Roman"/>
          <w:sz w:val="24"/>
          <w:szCs w:val="24"/>
        </w:rPr>
        <w:t>can be implemented in</w:t>
      </w:r>
      <w:r w:rsidR="00FF44C2" w:rsidRPr="007637C9">
        <w:rPr>
          <w:rFonts w:ascii="Times New Roman" w:hAnsi="Times New Roman" w:cs="Times New Roman"/>
          <w:sz w:val="24"/>
          <w:szCs w:val="24"/>
        </w:rPr>
        <w:t>to</w:t>
      </w:r>
      <w:r w:rsidR="00463ECC" w:rsidRPr="007637C9">
        <w:rPr>
          <w:rFonts w:ascii="Times New Roman" w:hAnsi="Times New Roman" w:cs="Times New Roman"/>
          <w:sz w:val="24"/>
          <w:szCs w:val="24"/>
        </w:rPr>
        <w:t xml:space="preserve"> Sport </w:t>
      </w:r>
      <w:r w:rsidR="00FF44C2" w:rsidRPr="007637C9">
        <w:rPr>
          <w:rFonts w:ascii="Times New Roman" w:hAnsi="Times New Roman" w:cs="Times New Roman"/>
          <w:sz w:val="24"/>
          <w:szCs w:val="24"/>
        </w:rPr>
        <w:t>and</w:t>
      </w:r>
      <w:r w:rsidR="00463ECC" w:rsidRPr="007637C9">
        <w:rPr>
          <w:rFonts w:ascii="Times New Roman" w:hAnsi="Times New Roman" w:cs="Times New Roman"/>
          <w:sz w:val="24"/>
          <w:szCs w:val="24"/>
        </w:rPr>
        <w:t xml:space="preserve"> Exercise Sciences </w:t>
      </w:r>
      <w:r w:rsidR="002C2054" w:rsidRPr="007637C9">
        <w:rPr>
          <w:rFonts w:ascii="Times New Roman" w:hAnsi="Times New Roman" w:cs="Times New Roman"/>
          <w:sz w:val="24"/>
          <w:szCs w:val="24"/>
        </w:rPr>
        <w:t>teaching</w:t>
      </w:r>
      <w:r w:rsidR="00FF44C2" w:rsidRPr="007637C9">
        <w:rPr>
          <w:rFonts w:ascii="Times New Roman" w:hAnsi="Times New Roman" w:cs="Times New Roman"/>
          <w:sz w:val="24"/>
          <w:szCs w:val="24"/>
        </w:rPr>
        <w:t xml:space="preserve"> in Higher Education</w:t>
      </w:r>
      <w:r w:rsidR="002C2054" w:rsidRPr="007637C9">
        <w:rPr>
          <w:rFonts w:ascii="Times New Roman" w:hAnsi="Times New Roman" w:cs="Times New Roman"/>
          <w:sz w:val="24"/>
          <w:szCs w:val="24"/>
        </w:rPr>
        <w:t>.</w:t>
      </w:r>
      <w:r w:rsidR="00463ECC" w:rsidRPr="007637C9">
        <w:rPr>
          <w:rFonts w:ascii="Times New Roman" w:hAnsi="Times New Roman" w:cs="Times New Roman"/>
          <w:sz w:val="24"/>
          <w:szCs w:val="24"/>
        </w:rPr>
        <w:t xml:space="preserve">  To guide the </w:t>
      </w:r>
      <w:r w:rsidR="002C2054" w:rsidRPr="007637C9">
        <w:rPr>
          <w:rFonts w:ascii="Times New Roman" w:hAnsi="Times New Roman" w:cs="Times New Roman"/>
          <w:sz w:val="24"/>
          <w:szCs w:val="24"/>
        </w:rPr>
        <w:t>paper</w:t>
      </w:r>
      <w:r w:rsidR="00463ECC" w:rsidRPr="007637C9">
        <w:rPr>
          <w:rFonts w:ascii="Times New Roman" w:hAnsi="Times New Roman" w:cs="Times New Roman"/>
          <w:sz w:val="24"/>
          <w:szCs w:val="24"/>
        </w:rPr>
        <w:t xml:space="preserve">, a </w:t>
      </w:r>
      <w:r w:rsidR="009D2EA2" w:rsidRPr="007637C9">
        <w:rPr>
          <w:rFonts w:ascii="Times New Roman" w:hAnsi="Times New Roman" w:cs="Times New Roman"/>
          <w:sz w:val="24"/>
          <w:szCs w:val="24"/>
        </w:rPr>
        <w:t>narrative review</w:t>
      </w:r>
      <w:r w:rsidR="00463ECC" w:rsidRPr="007637C9">
        <w:rPr>
          <w:rFonts w:ascii="Times New Roman" w:hAnsi="Times New Roman" w:cs="Times New Roman"/>
          <w:sz w:val="24"/>
          <w:szCs w:val="24"/>
        </w:rPr>
        <w:t xml:space="preserve"> approach was utilised to identify current EPA frameworks and processes in use. A framework and competency matrix w</w:t>
      </w:r>
      <w:r w:rsidRPr="007637C9">
        <w:rPr>
          <w:rFonts w:ascii="Times New Roman" w:hAnsi="Times New Roman" w:cs="Times New Roman"/>
          <w:sz w:val="24"/>
          <w:szCs w:val="24"/>
        </w:rPr>
        <w:t>ere</w:t>
      </w:r>
      <w:r w:rsidR="00463ECC" w:rsidRPr="007637C9">
        <w:rPr>
          <w:rFonts w:ascii="Times New Roman" w:hAnsi="Times New Roman" w:cs="Times New Roman"/>
          <w:sz w:val="24"/>
          <w:szCs w:val="24"/>
        </w:rPr>
        <w:t xml:space="preserve"> developed based on the </w:t>
      </w:r>
      <w:r w:rsidRPr="007637C9">
        <w:rPr>
          <w:rFonts w:ascii="Times New Roman" w:hAnsi="Times New Roman" w:cs="Times New Roman"/>
          <w:sz w:val="24"/>
          <w:szCs w:val="24"/>
        </w:rPr>
        <w:t>a</w:t>
      </w:r>
      <w:r w:rsidR="00463ECC" w:rsidRPr="007637C9">
        <w:rPr>
          <w:rFonts w:ascii="Times New Roman" w:hAnsi="Times New Roman" w:cs="Times New Roman"/>
          <w:sz w:val="24"/>
          <w:szCs w:val="24"/>
        </w:rPr>
        <w:t>ccreditation criteria</w:t>
      </w:r>
      <w:r w:rsidR="00FF44C2" w:rsidRPr="007637C9">
        <w:rPr>
          <w:rFonts w:ascii="Times New Roman" w:hAnsi="Times New Roman" w:cs="Times New Roman"/>
          <w:sz w:val="24"/>
          <w:szCs w:val="24"/>
        </w:rPr>
        <w:t xml:space="preserve"> </w:t>
      </w:r>
      <w:r w:rsidRPr="007637C9">
        <w:rPr>
          <w:rFonts w:ascii="Times New Roman" w:hAnsi="Times New Roman" w:cs="Times New Roman"/>
          <w:sz w:val="24"/>
          <w:szCs w:val="24"/>
        </w:rPr>
        <w:t>of</w:t>
      </w:r>
      <w:r w:rsidR="00FF44C2" w:rsidRPr="007637C9">
        <w:rPr>
          <w:rFonts w:ascii="Times New Roman" w:hAnsi="Times New Roman" w:cs="Times New Roman"/>
          <w:sz w:val="24"/>
          <w:szCs w:val="24"/>
        </w:rPr>
        <w:t xml:space="preserve"> the British Association of Sport and Exercise Sciences (BASES)</w:t>
      </w:r>
      <w:r w:rsidR="00B02B4C">
        <w:rPr>
          <w:rFonts w:ascii="Times New Roman" w:hAnsi="Times New Roman" w:cs="Times New Roman"/>
          <w:sz w:val="24"/>
          <w:szCs w:val="24"/>
        </w:rPr>
        <w:t xml:space="preserve"> and implemented into an introductory module</w:t>
      </w:r>
      <w:r w:rsidR="00FF44C2" w:rsidRPr="007637C9">
        <w:rPr>
          <w:rFonts w:ascii="Times New Roman" w:hAnsi="Times New Roman" w:cs="Times New Roman"/>
          <w:sz w:val="24"/>
          <w:szCs w:val="24"/>
        </w:rPr>
        <w:t>.</w:t>
      </w:r>
      <w:r w:rsidR="00463ECC" w:rsidRPr="007637C9">
        <w:rPr>
          <w:rFonts w:ascii="Times New Roman" w:hAnsi="Times New Roman" w:cs="Times New Roman"/>
          <w:sz w:val="24"/>
          <w:szCs w:val="24"/>
        </w:rPr>
        <w:t xml:space="preserve"> </w:t>
      </w:r>
      <w:r w:rsidR="00B02B4C">
        <w:rPr>
          <w:rFonts w:ascii="Times New Roman" w:hAnsi="Times New Roman" w:cs="Times New Roman"/>
          <w:sz w:val="24"/>
          <w:szCs w:val="24"/>
        </w:rPr>
        <w:t xml:space="preserve"> </w:t>
      </w:r>
      <w:bookmarkStart w:id="3" w:name="_Hlk94868065"/>
      <w:r w:rsidR="00B02B4C" w:rsidRPr="007637C9">
        <w:rPr>
          <w:rFonts w:ascii="Times New Roman" w:hAnsi="Times New Roman" w:cs="Times New Roman"/>
          <w:sz w:val="24"/>
          <w:szCs w:val="24"/>
        </w:rPr>
        <w:t>The EPA framework was evaluated by asking students</w:t>
      </w:r>
      <w:r w:rsidR="00B02B4C">
        <w:rPr>
          <w:rFonts w:ascii="Times New Roman" w:hAnsi="Times New Roman" w:cs="Times New Roman"/>
          <w:sz w:val="24"/>
          <w:szCs w:val="24"/>
        </w:rPr>
        <w:t xml:space="preserve"> (n=47)</w:t>
      </w:r>
      <w:r w:rsidR="00B02B4C" w:rsidRPr="007637C9">
        <w:rPr>
          <w:rFonts w:ascii="Times New Roman" w:hAnsi="Times New Roman" w:cs="Times New Roman"/>
          <w:sz w:val="24"/>
          <w:szCs w:val="24"/>
        </w:rPr>
        <w:t xml:space="preserve"> to rank the importance of the competency action statements</w:t>
      </w:r>
      <w:r w:rsidR="00B02B4C">
        <w:rPr>
          <w:rFonts w:ascii="Times New Roman" w:hAnsi="Times New Roman" w:cs="Times New Roman"/>
          <w:sz w:val="24"/>
          <w:szCs w:val="24"/>
        </w:rPr>
        <w:t>.</w:t>
      </w:r>
      <w:r w:rsidR="00B02B4C" w:rsidRPr="007637C9">
        <w:rPr>
          <w:rFonts w:ascii="Times New Roman" w:hAnsi="Times New Roman" w:cs="Times New Roman"/>
          <w:sz w:val="24"/>
          <w:szCs w:val="24"/>
        </w:rPr>
        <w:t xml:space="preserve"> </w:t>
      </w:r>
      <w:bookmarkEnd w:id="3"/>
      <w:r w:rsidR="00463ECC" w:rsidRPr="007637C9">
        <w:rPr>
          <w:rFonts w:ascii="Times New Roman" w:hAnsi="Times New Roman" w:cs="Times New Roman"/>
          <w:sz w:val="24"/>
          <w:szCs w:val="24"/>
        </w:rPr>
        <w:t>The EPA framework was successfu</w:t>
      </w:r>
      <w:r w:rsidR="00FF44C2" w:rsidRPr="007637C9">
        <w:rPr>
          <w:rFonts w:ascii="Times New Roman" w:hAnsi="Times New Roman" w:cs="Times New Roman"/>
          <w:sz w:val="24"/>
          <w:szCs w:val="24"/>
        </w:rPr>
        <w:t>l</w:t>
      </w:r>
      <w:r w:rsidR="00463ECC" w:rsidRPr="007637C9">
        <w:rPr>
          <w:rFonts w:ascii="Times New Roman" w:hAnsi="Times New Roman" w:cs="Times New Roman"/>
          <w:sz w:val="24"/>
          <w:szCs w:val="24"/>
        </w:rPr>
        <w:t>l</w:t>
      </w:r>
      <w:r w:rsidR="00FF44C2" w:rsidRPr="007637C9">
        <w:rPr>
          <w:rFonts w:ascii="Times New Roman" w:hAnsi="Times New Roman" w:cs="Times New Roman"/>
          <w:sz w:val="24"/>
          <w:szCs w:val="24"/>
        </w:rPr>
        <w:t>y</w:t>
      </w:r>
      <w:r w:rsidR="00463ECC" w:rsidRPr="007637C9">
        <w:rPr>
          <w:rFonts w:ascii="Times New Roman" w:hAnsi="Times New Roman" w:cs="Times New Roman"/>
          <w:sz w:val="24"/>
          <w:szCs w:val="24"/>
        </w:rPr>
        <w:t xml:space="preserve"> used within </w:t>
      </w:r>
      <w:r w:rsidR="005D5187" w:rsidRPr="007637C9">
        <w:rPr>
          <w:rFonts w:ascii="Times New Roman" w:hAnsi="Times New Roman" w:cs="Times New Roman"/>
          <w:sz w:val="24"/>
          <w:szCs w:val="24"/>
        </w:rPr>
        <w:t>a</w:t>
      </w:r>
      <w:r w:rsidR="00463ECC" w:rsidRPr="007637C9">
        <w:rPr>
          <w:rFonts w:ascii="Times New Roman" w:hAnsi="Times New Roman" w:cs="Times New Roman"/>
          <w:sz w:val="24"/>
          <w:szCs w:val="24"/>
        </w:rPr>
        <w:t xml:space="preserve"> module </w:t>
      </w:r>
      <w:r w:rsidRPr="007637C9">
        <w:rPr>
          <w:rFonts w:ascii="Times New Roman" w:hAnsi="Times New Roman" w:cs="Times New Roman"/>
          <w:sz w:val="24"/>
          <w:szCs w:val="24"/>
        </w:rPr>
        <w:t>and the</w:t>
      </w:r>
      <w:r w:rsidR="00463ECC" w:rsidRPr="007637C9">
        <w:rPr>
          <w:rFonts w:ascii="Times New Roman" w:hAnsi="Times New Roman" w:cs="Times New Roman"/>
          <w:sz w:val="24"/>
          <w:szCs w:val="24"/>
        </w:rPr>
        <w:t xml:space="preserve"> framework was defined as a matrix, with statements </w:t>
      </w:r>
      <w:r w:rsidRPr="007637C9">
        <w:rPr>
          <w:rFonts w:ascii="Times New Roman" w:hAnsi="Times New Roman" w:cs="Times New Roman"/>
          <w:sz w:val="24"/>
          <w:szCs w:val="24"/>
        </w:rPr>
        <w:t>aligned to a selection of expected graduate competencies</w:t>
      </w:r>
      <w:r w:rsidR="00463ECC" w:rsidRPr="007637C9">
        <w:rPr>
          <w:rFonts w:ascii="Times New Roman" w:hAnsi="Times New Roman" w:cs="Times New Roman"/>
          <w:sz w:val="24"/>
          <w:szCs w:val="24"/>
        </w:rPr>
        <w:t xml:space="preserve">, as EPAs were not related to specific tasks </w:t>
      </w:r>
      <w:r w:rsidRPr="007637C9">
        <w:rPr>
          <w:rFonts w:ascii="Times New Roman" w:hAnsi="Times New Roman" w:cs="Times New Roman"/>
          <w:sz w:val="24"/>
          <w:szCs w:val="24"/>
        </w:rPr>
        <w:t>but</w:t>
      </w:r>
      <w:r w:rsidR="00463ECC" w:rsidRPr="007637C9">
        <w:rPr>
          <w:rFonts w:ascii="Times New Roman" w:hAnsi="Times New Roman" w:cs="Times New Roman"/>
          <w:sz w:val="24"/>
          <w:szCs w:val="24"/>
        </w:rPr>
        <w:t xml:space="preserve"> were designed to cover the tests included in the module.</w:t>
      </w:r>
      <w:r w:rsidR="00FF44C2" w:rsidRPr="007637C9">
        <w:rPr>
          <w:rFonts w:ascii="Times New Roman" w:hAnsi="Times New Roman" w:cs="Times New Roman"/>
          <w:sz w:val="24"/>
          <w:szCs w:val="24"/>
        </w:rPr>
        <w:t xml:space="preserve"> </w:t>
      </w:r>
      <w:r w:rsidR="008E6CB1">
        <w:rPr>
          <w:rFonts w:ascii="Times New Roman" w:hAnsi="Times New Roman" w:cs="Times New Roman"/>
          <w:sz w:val="24"/>
          <w:szCs w:val="24"/>
        </w:rPr>
        <w:t>EPAs</w:t>
      </w:r>
      <w:r w:rsidR="002C2054" w:rsidRPr="007637C9">
        <w:rPr>
          <w:rFonts w:ascii="Times New Roman" w:hAnsi="Times New Roman" w:cs="Times New Roman"/>
          <w:sz w:val="24"/>
          <w:szCs w:val="24"/>
        </w:rPr>
        <w:t xml:space="preserve"> </w:t>
      </w:r>
      <w:r w:rsidR="00FF44C2" w:rsidRPr="007637C9">
        <w:rPr>
          <w:rFonts w:ascii="Times New Roman" w:hAnsi="Times New Roman" w:cs="Times New Roman"/>
          <w:sz w:val="24"/>
          <w:szCs w:val="24"/>
        </w:rPr>
        <w:t xml:space="preserve">offer a </w:t>
      </w:r>
      <w:r w:rsidR="00463ECC" w:rsidRPr="007637C9">
        <w:rPr>
          <w:rFonts w:ascii="Times New Roman" w:hAnsi="Times New Roman" w:cs="Times New Roman"/>
          <w:sz w:val="24"/>
          <w:szCs w:val="24"/>
        </w:rPr>
        <w:t xml:space="preserve">well-structured teaching and learning tool </w:t>
      </w:r>
      <w:r w:rsidR="00FF44C2" w:rsidRPr="007637C9">
        <w:rPr>
          <w:rFonts w:ascii="Times New Roman" w:eastAsia="Times New Roman" w:hAnsi="Times New Roman" w:cs="Times New Roman"/>
          <w:color w:val="000000"/>
          <w:sz w:val="24"/>
          <w:szCs w:val="24"/>
          <w:lang w:eastAsia="en-GB"/>
        </w:rPr>
        <w:t xml:space="preserve">with </w:t>
      </w:r>
      <w:r w:rsidR="00463ECC" w:rsidRPr="007637C9">
        <w:rPr>
          <w:rFonts w:ascii="Times New Roman" w:eastAsia="Times New Roman" w:hAnsi="Times New Roman" w:cs="Times New Roman"/>
          <w:color w:val="000000"/>
          <w:sz w:val="24"/>
          <w:szCs w:val="24"/>
          <w:lang w:eastAsia="en-GB"/>
        </w:rPr>
        <w:t xml:space="preserve">clear alignment to the overall discipline of Sport </w:t>
      </w:r>
      <w:r w:rsidR="00FF44C2" w:rsidRPr="007637C9">
        <w:rPr>
          <w:rFonts w:ascii="Times New Roman" w:eastAsia="Times New Roman" w:hAnsi="Times New Roman" w:cs="Times New Roman"/>
          <w:color w:val="000000"/>
          <w:sz w:val="24"/>
          <w:szCs w:val="24"/>
          <w:lang w:eastAsia="en-GB"/>
        </w:rPr>
        <w:t>and</w:t>
      </w:r>
      <w:r w:rsidR="00463ECC" w:rsidRPr="007637C9">
        <w:rPr>
          <w:rFonts w:ascii="Times New Roman" w:eastAsia="Times New Roman" w:hAnsi="Times New Roman" w:cs="Times New Roman"/>
          <w:color w:val="000000"/>
          <w:sz w:val="24"/>
          <w:szCs w:val="24"/>
          <w:lang w:eastAsia="en-GB"/>
        </w:rPr>
        <w:t xml:space="preserve"> Exercise Sciences</w:t>
      </w:r>
      <w:r w:rsidR="00FF44C2" w:rsidRPr="007637C9">
        <w:rPr>
          <w:rFonts w:ascii="Times New Roman" w:eastAsia="Times New Roman" w:hAnsi="Times New Roman" w:cs="Times New Roman"/>
          <w:color w:val="000000"/>
          <w:sz w:val="24"/>
          <w:szCs w:val="24"/>
          <w:lang w:eastAsia="en-GB"/>
        </w:rPr>
        <w:t xml:space="preserve">. EPAs </w:t>
      </w:r>
      <w:r w:rsidR="008E6CB1">
        <w:rPr>
          <w:rFonts w:ascii="Times New Roman" w:eastAsia="Times New Roman" w:hAnsi="Times New Roman" w:cs="Times New Roman"/>
          <w:color w:val="000000"/>
          <w:sz w:val="24"/>
          <w:szCs w:val="24"/>
          <w:lang w:eastAsia="en-GB"/>
        </w:rPr>
        <w:t xml:space="preserve">may </w:t>
      </w:r>
      <w:r w:rsidR="00463ECC" w:rsidRPr="007637C9">
        <w:rPr>
          <w:rFonts w:ascii="Times New Roman" w:eastAsia="Times New Roman" w:hAnsi="Times New Roman" w:cs="Times New Roman"/>
          <w:color w:val="000000"/>
          <w:sz w:val="24"/>
          <w:szCs w:val="24"/>
          <w:lang w:eastAsia="en-GB"/>
        </w:rPr>
        <w:t xml:space="preserve">aid </w:t>
      </w:r>
      <w:r w:rsidR="00FF44C2" w:rsidRPr="007637C9">
        <w:rPr>
          <w:rFonts w:ascii="Times New Roman" w:eastAsia="Times New Roman" w:hAnsi="Times New Roman" w:cs="Times New Roman"/>
          <w:color w:val="000000"/>
          <w:sz w:val="24"/>
          <w:szCs w:val="24"/>
          <w:lang w:eastAsia="en-GB"/>
        </w:rPr>
        <w:t xml:space="preserve">the </w:t>
      </w:r>
      <w:r w:rsidR="00463ECC" w:rsidRPr="007637C9">
        <w:rPr>
          <w:rFonts w:ascii="Times New Roman" w:eastAsia="Times New Roman" w:hAnsi="Times New Roman" w:cs="Times New Roman"/>
          <w:color w:val="000000"/>
          <w:sz w:val="24"/>
          <w:szCs w:val="24"/>
          <w:lang w:eastAsia="en-GB"/>
        </w:rPr>
        <w:t xml:space="preserve">professional development of </w:t>
      </w:r>
      <w:r w:rsidR="00FF44C2" w:rsidRPr="007637C9">
        <w:rPr>
          <w:rFonts w:ascii="Times New Roman" w:eastAsia="Times New Roman" w:hAnsi="Times New Roman" w:cs="Times New Roman"/>
          <w:color w:val="000000"/>
          <w:sz w:val="24"/>
          <w:szCs w:val="24"/>
          <w:lang w:eastAsia="en-GB"/>
        </w:rPr>
        <w:t xml:space="preserve">key </w:t>
      </w:r>
      <w:r w:rsidR="00463ECC" w:rsidRPr="007637C9">
        <w:rPr>
          <w:rFonts w:ascii="Times New Roman" w:eastAsia="Times New Roman" w:hAnsi="Times New Roman" w:cs="Times New Roman"/>
          <w:color w:val="000000"/>
          <w:sz w:val="24"/>
          <w:szCs w:val="24"/>
          <w:lang w:eastAsia="en-GB"/>
        </w:rPr>
        <w:t>attributes and skills</w:t>
      </w:r>
      <w:r w:rsidRPr="007637C9">
        <w:rPr>
          <w:rFonts w:ascii="Times New Roman" w:eastAsia="Times New Roman" w:hAnsi="Times New Roman" w:cs="Times New Roman"/>
          <w:color w:val="000000"/>
          <w:sz w:val="24"/>
          <w:szCs w:val="24"/>
          <w:lang w:eastAsia="en-GB"/>
        </w:rPr>
        <w:t xml:space="preserve"> </w:t>
      </w:r>
      <w:r w:rsidR="008B232C">
        <w:rPr>
          <w:rFonts w:ascii="Times New Roman" w:eastAsia="Times New Roman" w:hAnsi="Times New Roman" w:cs="Times New Roman"/>
          <w:color w:val="000000"/>
          <w:sz w:val="24"/>
          <w:szCs w:val="24"/>
          <w:lang w:eastAsia="en-GB"/>
        </w:rPr>
        <w:t>to</w:t>
      </w:r>
      <w:r w:rsidRPr="007637C9">
        <w:rPr>
          <w:rFonts w:ascii="Times New Roman" w:eastAsia="Times New Roman" w:hAnsi="Times New Roman" w:cs="Times New Roman"/>
          <w:color w:val="000000"/>
          <w:sz w:val="24"/>
          <w:szCs w:val="24"/>
          <w:lang w:eastAsia="en-GB"/>
        </w:rPr>
        <w:t xml:space="preserve"> </w:t>
      </w:r>
      <w:r w:rsidR="00463ECC" w:rsidRPr="007637C9">
        <w:rPr>
          <w:rFonts w:ascii="Times New Roman" w:eastAsia="Times New Roman" w:hAnsi="Times New Roman" w:cs="Times New Roman"/>
          <w:color w:val="000000"/>
          <w:sz w:val="24"/>
          <w:szCs w:val="24"/>
          <w:lang w:eastAsia="en-GB"/>
        </w:rPr>
        <w:t xml:space="preserve">produce work-ready Sport </w:t>
      </w:r>
      <w:r w:rsidR="00FF44C2" w:rsidRPr="007637C9">
        <w:rPr>
          <w:rFonts w:ascii="Times New Roman" w:eastAsia="Times New Roman" w:hAnsi="Times New Roman" w:cs="Times New Roman"/>
          <w:color w:val="000000"/>
          <w:sz w:val="24"/>
          <w:szCs w:val="24"/>
          <w:lang w:eastAsia="en-GB"/>
        </w:rPr>
        <w:t>and</w:t>
      </w:r>
      <w:r w:rsidR="00463ECC" w:rsidRPr="007637C9">
        <w:rPr>
          <w:rFonts w:ascii="Times New Roman" w:eastAsia="Times New Roman" w:hAnsi="Times New Roman" w:cs="Times New Roman"/>
          <w:color w:val="000000"/>
          <w:sz w:val="24"/>
          <w:szCs w:val="24"/>
          <w:lang w:eastAsia="en-GB"/>
        </w:rPr>
        <w:t xml:space="preserve"> Exercise Scien</w:t>
      </w:r>
      <w:r w:rsidR="00FF44C2" w:rsidRPr="007637C9">
        <w:rPr>
          <w:rFonts w:ascii="Times New Roman" w:eastAsia="Times New Roman" w:hAnsi="Times New Roman" w:cs="Times New Roman"/>
          <w:color w:val="000000"/>
          <w:sz w:val="24"/>
          <w:szCs w:val="24"/>
          <w:lang w:eastAsia="en-GB"/>
        </w:rPr>
        <w:t xml:space="preserve">ce graduates. </w:t>
      </w:r>
    </w:p>
    <w:p w14:paraId="2239E994" w14:textId="77777777" w:rsidR="00BA3802" w:rsidRPr="007637C9" w:rsidRDefault="00BA3802" w:rsidP="007637C9">
      <w:pPr>
        <w:pStyle w:val="APAcentretitle"/>
        <w:spacing w:after="120"/>
        <w:jc w:val="left"/>
        <w:rPr>
          <w:rFonts w:eastAsia="Times"/>
          <w:szCs w:val="24"/>
        </w:rPr>
      </w:pPr>
      <w:r w:rsidRPr="007637C9">
        <w:rPr>
          <w:rFonts w:eastAsia="Times"/>
          <w:szCs w:val="24"/>
        </w:rPr>
        <w:t xml:space="preserve">Keywords: </w:t>
      </w:r>
      <w:r w:rsidRPr="007637C9">
        <w:rPr>
          <w:i/>
          <w:iCs/>
          <w:szCs w:val="24"/>
        </w:rPr>
        <w:t>Higher Education, Pedagogic Development, Sport Sciences, Accreditation</w:t>
      </w:r>
    </w:p>
    <w:p w14:paraId="17F80DE6" w14:textId="22C28F03" w:rsidR="00BA3802" w:rsidRPr="007637C9" w:rsidRDefault="00BA3802" w:rsidP="007637C9">
      <w:pPr>
        <w:tabs>
          <w:tab w:val="left" w:pos="6840"/>
        </w:tabs>
        <w:spacing w:after="120" w:line="480" w:lineRule="auto"/>
        <w:rPr>
          <w:rFonts w:ascii="Times New Roman" w:eastAsia="Times New Roman" w:hAnsi="Times New Roman" w:cs="Times New Roman"/>
          <w:color w:val="000000"/>
          <w:sz w:val="24"/>
          <w:szCs w:val="24"/>
          <w:lang w:eastAsia="en-GB"/>
        </w:rPr>
      </w:pPr>
    </w:p>
    <w:p w14:paraId="17603245" w14:textId="77777777" w:rsidR="007637C9" w:rsidRDefault="007637C9" w:rsidP="007637C9">
      <w:pPr>
        <w:tabs>
          <w:tab w:val="left" w:pos="6840"/>
        </w:tabs>
        <w:spacing w:after="120" w:line="480" w:lineRule="auto"/>
        <w:rPr>
          <w:rFonts w:ascii="Times New Roman" w:eastAsia="Times New Roman" w:hAnsi="Times New Roman" w:cs="Times New Roman"/>
          <w:color w:val="000000"/>
          <w:sz w:val="24"/>
          <w:szCs w:val="24"/>
          <w:lang w:eastAsia="en-GB"/>
        </w:rPr>
      </w:pPr>
    </w:p>
    <w:p w14:paraId="3D5164C0" w14:textId="77080CA0" w:rsidR="002C2054" w:rsidRPr="00CF4068" w:rsidRDefault="00CD503F" w:rsidP="00CF4068">
      <w:pPr>
        <w:pStyle w:val="ListParagraph"/>
        <w:numPr>
          <w:ilvl w:val="0"/>
          <w:numId w:val="2"/>
        </w:numPr>
        <w:tabs>
          <w:tab w:val="left" w:pos="6840"/>
        </w:tabs>
        <w:spacing w:after="120" w:line="480" w:lineRule="auto"/>
        <w:rPr>
          <w:b/>
          <w:bCs/>
        </w:rPr>
      </w:pPr>
      <w:r w:rsidRPr="00CF4068">
        <w:rPr>
          <w:b/>
          <w:bCs/>
        </w:rPr>
        <w:lastRenderedPageBreak/>
        <w:t>Introduction</w:t>
      </w:r>
    </w:p>
    <w:p w14:paraId="0ACD3FC4" w14:textId="16ABD802" w:rsidR="00255068" w:rsidRDefault="00CD503F"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Entrustable professional activities (EPA)</w:t>
      </w:r>
      <w:r w:rsidR="00600E57" w:rsidRPr="007637C9">
        <w:rPr>
          <w:rFonts w:ascii="Times New Roman" w:hAnsi="Times New Roman" w:cs="Times New Roman"/>
          <w:sz w:val="24"/>
          <w:szCs w:val="24"/>
        </w:rPr>
        <w:t xml:space="preserve"> </w:t>
      </w:r>
      <w:r w:rsidRPr="007637C9">
        <w:rPr>
          <w:rFonts w:ascii="Times New Roman" w:hAnsi="Times New Roman" w:cs="Times New Roman"/>
          <w:sz w:val="24"/>
          <w:szCs w:val="24"/>
        </w:rPr>
        <w:t>are an indicator of practical competency within a field of work</w:t>
      </w:r>
      <w:r w:rsidR="001301CF" w:rsidRPr="007637C9">
        <w:rPr>
          <w:rFonts w:ascii="Times New Roman" w:hAnsi="Times New Roman" w:cs="Times New Roman"/>
          <w:sz w:val="24"/>
          <w:szCs w:val="24"/>
        </w:rPr>
        <w:t xml:space="preserve"> (Ten Cate, 2005)</w:t>
      </w:r>
      <w:r w:rsidRPr="007637C9">
        <w:rPr>
          <w:rFonts w:ascii="Times New Roman" w:hAnsi="Times New Roman" w:cs="Times New Roman"/>
          <w:sz w:val="24"/>
          <w:szCs w:val="24"/>
        </w:rPr>
        <w:t xml:space="preserve">. They are </w:t>
      </w:r>
      <w:r w:rsidR="00FF44C2" w:rsidRPr="007637C9">
        <w:rPr>
          <w:rFonts w:ascii="Times New Roman" w:hAnsi="Times New Roman" w:cs="Times New Roman"/>
          <w:sz w:val="24"/>
          <w:szCs w:val="24"/>
        </w:rPr>
        <w:t>aligned to</w:t>
      </w:r>
      <w:r w:rsidRPr="007637C9">
        <w:rPr>
          <w:rFonts w:ascii="Times New Roman" w:hAnsi="Times New Roman" w:cs="Times New Roman"/>
          <w:sz w:val="24"/>
          <w:szCs w:val="24"/>
        </w:rPr>
        <w:t xml:space="preserve"> </w:t>
      </w:r>
      <w:proofErr w:type="gramStart"/>
      <w:r w:rsidRPr="007637C9">
        <w:rPr>
          <w:rFonts w:ascii="Times New Roman" w:hAnsi="Times New Roman" w:cs="Times New Roman"/>
          <w:sz w:val="24"/>
          <w:szCs w:val="24"/>
        </w:rPr>
        <w:t>day to day</w:t>
      </w:r>
      <w:proofErr w:type="gramEnd"/>
      <w:r w:rsidRPr="007637C9">
        <w:rPr>
          <w:rFonts w:ascii="Times New Roman" w:hAnsi="Times New Roman" w:cs="Times New Roman"/>
          <w:sz w:val="24"/>
          <w:szCs w:val="24"/>
        </w:rPr>
        <w:t xml:space="preserve"> operational tasks, often related to health and safety or </w:t>
      </w:r>
      <w:r w:rsidR="00FF44C2" w:rsidRPr="007637C9">
        <w:rPr>
          <w:rFonts w:ascii="Times New Roman" w:hAnsi="Times New Roman" w:cs="Times New Roman"/>
          <w:sz w:val="24"/>
          <w:szCs w:val="24"/>
        </w:rPr>
        <w:t>specific</w:t>
      </w:r>
      <w:r w:rsidRPr="007637C9">
        <w:rPr>
          <w:rFonts w:ascii="Times New Roman" w:hAnsi="Times New Roman" w:cs="Times New Roman"/>
          <w:sz w:val="24"/>
          <w:szCs w:val="24"/>
        </w:rPr>
        <w:t xml:space="preserve"> skills within job role</w:t>
      </w:r>
      <w:r w:rsidR="005D5187" w:rsidRPr="007637C9">
        <w:rPr>
          <w:rFonts w:ascii="Times New Roman" w:hAnsi="Times New Roman" w:cs="Times New Roman"/>
          <w:sz w:val="24"/>
          <w:szCs w:val="24"/>
        </w:rPr>
        <w:t>s</w:t>
      </w:r>
      <w:r w:rsidR="00A94967" w:rsidRPr="007637C9">
        <w:rPr>
          <w:rFonts w:ascii="Times New Roman" w:hAnsi="Times New Roman" w:cs="Times New Roman"/>
          <w:sz w:val="24"/>
          <w:szCs w:val="24"/>
        </w:rPr>
        <w:t xml:space="preserve"> </w:t>
      </w:r>
      <w:r w:rsidRPr="007637C9">
        <w:rPr>
          <w:rFonts w:ascii="Times New Roman" w:hAnsi="Times New Roman" w:cs="Times New Roman"/>
          <w:sz w:val="24"/>
          <w:szCs w:val="24"/>
        </w:rPr>
        <w:t>and aim to</w:t>
      </w:r>
      <w:r w:rsidR="00FF44C2" w:rsidRPr="007637C9">
        <w:rPr>
          <w:rFonts w:ascii="Times New Roman" w:hAnsi="Times New Roman" w:cs="Times New Roman"/>
          <w:sz w:val="24"/>
          <w:szCs w:val="24"/>
        </w:rPr>
        <w:t xml:space="preserve"> enhance autonomy and</w:t>
      </w:r>
      <w:r w:rsidRPr="007637C9">
        <w:rPr>
          <w:rFonts w:ascii="Times New Roman" w:hAnsi="Times New Roman" w:cs="Times New Roman"/>
          <w:sz w:val="24"/>
          <w:szCs w:val="24"/>
        </w:rPr>
        <w:t xml:space="preserve"> reduce the </w:t>
      </w:r>
      <w:r w:rsidR="00FF44C2" w:rsidRPr="007637C9">
        <w:rPr>
          <w:rFonts w:ascii="Times New Roman" w:hAnsi="Times New Roman" w:cs="Times New Roman"/>
          <w:sz w:val="24"/>
          <w:szCs w:val="24"/>
        </w:rPr>
        <w:t xml:space="preserve">burden </w:t>
      </w:r>
      <w:r w:rsidRPr="007637C9">
        <w:rPr>
          <w:rFonts w:ascii="Times New Roman" w:hAnsi="Times New Roman" w:cs="Times New Roman"/>
          <w:sz w:val="24"/>
          <w:szCs w:val="24"/>
        </w:rPr>
        <w:t>for supervision</w:t>
      </w:r>
      <w:r w:rsidR="00A94967" w:rsidRPr="007637C9">
        <w:rPr>
          <w:rFonts w:ascii="Times New Roman" w:hAnsi="Times New Roman" w:cs="Times New Roman"/>
          <w:sz w:val="24"/>
          <w:szCs w:val="24"/>
        </w:rPr>
        <w:t xml:space="preserve"> in the workplace</w:t>
      </w:r>
      <w:r w:rsidRPr="007637C9">
        <w:rPr>
          <w:rFonts w:ascii="Times New Roman" w:hAnsi="Times New Roman" w:cs="Times New Roman"/>
          <w:sz w:val="24"/>
          <w:szCs w:val="24"/>
        </w:rPr>
        <w:t xml:space="preserve">.  </w:t>
      </w:r>
      <w:r w:rsidR="00A94967" w:rsidRPr="007637C9">
        <w:rPr>
          <w:rFonts w:ascii="Times New Roman" w:hAnsi="Times New Roman" w:cs="Times New Roman"/>
          <w:sz w:val="24"/>
          <w:szCs w:val="24"/>
        </w:rPr>
        <w:t>According to</w:t>
      </w:r>
      <w:r w:rsidRPr="007637C9">
        <w:rPr>
          <w:rFonts w:ascii="Times New Roman" w:hAnsi="Times New Roman" w:cs="Times New Roman"/>
          <w:sz w:val="24"/>
          <w:szCs w:val="24"/>
        </w:rPr>
        <w:t xml:space="preserve"> Dreyfus and Dreyfus (1980)</w:t>
      </w:r>
      <w:r w:rsidR="00A94967" w:rsidRPr="007637C9">
        <w:rPr>
          <w:rFonts w:ascii="Times New Roman" w:hAnsi="Times New Roman" w:cs="Times New Roman"/>
          <w:sz w:val="24"/>
          <w:szCs w:val="24"/>
        </w:rPr>
        <w:t>,</w:t>
      </w:r>
      <w:r w:rsidRPr="007637C9">
        <w:rPr>
          <w:rFonts w:ascii="Times New Roman" w:hAnsi="Times New Roman" w:cs="Times New Roman"/>
          <w:sz w:val="24"/>
          <w:szCs w:val="24"/>
        </w:rPr>
        <w:t xml:space="preserve"> learners </w:t>
      </w:r>
      <w:r w:rsidR="005D5187" w:rsidRPr="007637C9">
        <w:rPr>
          <w:rFonts w:ascii="Times New Roman" w:hAnsi="Times New Roman" w:cs="Times New Roman"/>
          <w:sz w:val="24"/>
          <w:szCs w:val="24"/>
        </w:rPr>
        <w:t xml:space="preserve">usually </w:t>
      </w:r>
      <w:r w:rsidRPr="007637C9">
        <w:rPr>
          <w:rFonts w:ascii="Times New Roman" w:hAnsi="Times New Roman" w:cs="Times New Roman"/>
          <w:sz w:val="24"/>
          <w:szCs w:val="24"/>
        </w:rPr>
        <w:t>begin as novices for most skills and progress at</w:t>
      </w:r>
      <w:r w:rsidR="00A94967" w:rsidRPr="007637C9">
        <w:rPr>
          <w:rFonts w:ascii="Times New Roman" w:hAnsi="Times New Roman" w:cs="Times New Roman"/>
          <w:sz w:val="24"/>
          <w:szCs w:val="24"/>
        </w:rPr>
        <w:t xml:space="preserve"> an</w:t>
      </w:r>
      <w:r w:rsidRPr="007637C9">
        <w:rPr>
          <w:rFonts w:ascii="Times New Roman" w:hAnsi="Times New Roman" w:cs="Times New Roman"/>
          <w:sz w:val="24"/>
          <w:szCs w:val="24"/>
        </w:rPr>
        <w:t xml:space="preserve"> individual </w:t>
      </w:r>
      <w:r w:rsidR="00A94967" w:rsidRPr="007637C9">
        <w:rPr>
          <w:rFonts w:ascii="Times New Roman" w:hAnsi="Times New Roman" w:cs="Times New Roman"/>
          <w:sz w:val="24"/>
          <w:szCs w:val="24"/>
        </w:rPr>
        <w:t xml:space="preserve">pace </w:t>
      </w:r>
      <w:r w:rsidRPr="007637C9">
        <w:rPr>
          <w:rFonts w:ascii="Times New Roman" w:hAnsi="Times New Roman" w:cs="Times New Roman"/>
          <w:sz w:val="24"/>
          <w:szCs w:val="24"/>
        </w:rPr>
        <w:t xml:space="preserve">through training to reach </w:t>
      </w:r>
      <w:r w:rsidR="00600E57" w:rsidRPr="007637C9">
        <w:rPr>
          <w:rFonts w:ascii="Times New Roman" w:hAnsi="Times New Roman" w:cs="Times New Roman"/>
          <w:sz w:val="24"/>
          <w:szCs w:val="24"/>
        </w:rPr>
        <w:t>a</w:t>
      </w:r>
      <w:r w:rsidRPr="007637C9">
        <w:rPr>
          <w:rFonts w:ascii="Times New Roman" w:hAnsi="Times New Roman" w:cs="Times New Roman"/>
          <w:sz w:val="24"/>
          <w:szCs w:val="24"/>
        </w:rPr>
        <w:t xml:space="preserve"> competent level. As they progress towards competency</w:t>
      </w:r>
      <w:r w:rsidR="00151EC8" w:rsidRPr="007637C9">
        <w:rPr>
          <w:rFonts w:ascii="Times New Roman" w:hAnsi="Times New Roman" w:cs="Times New Roman"/>
          <w:sz w:val="24"/>
          <w:szCs w:val="24"/>
        </w:rPr>
        <w:t>,</w:t>
      </w:r>
      <w:r w:rsidRPr="007637C9">
        <w:rPr>
          <w:rFonts w:ascii="Times New Roman" w:hAnsi="Times New Roman" w:cs="Times New Roman"/>
          <w:sz w:val="24"/>
          <w:szCs w:val="24"/>
        </w:rPr>
        <w:t xml:space="preserve"> the level of supervision decrease</w:t>
      </w:r>
      <w:r w:rsidR="005D5187" w:rsidRPr="007637C9">
        <w:rPr>
          <w:rFonts w:ascii="Times New Roman" w:hAnsi="Times New Roman" w:cs="Times New Roman"/>
          <w:sz w:val="24"/>
          <w:szCs w:val="24"/>
        </w:rPr>
        <w:t>s,</w:t>
      </w:r>
      <w:r w:rsidRPr="007637C9">
        <w:rPr>
          <w:rFonts w:ascii="Times New Roman" w:hAnsi="Times New Roman" w:cs="Times New Roman"/>
          <w:sz w:val="24"/>
          <w:szCs w:val="24"/>
        </w:rPr>
        <w:t xml:space="preserve"> and a threshold level of entrustment is achieved.  </w:t>
      </w:r>
      <w:r w:rsidR="00600E57" w:rsidRPr="007637C9">
        <w:rPr>
          <w:rFonts w:ascii="Times New Roman" w:hAnsi="Times New Roman" w:cs="Times New Roman"/>
          <w:sz w:val="24"/>
          <w:szCs w:val="24"/>
        </w:rPr>
        <w:t>In higher education,</w:t>
      </w:r>
      <w:r w:rsidR="00430924" w:rsidRPr="007637C9">
        <w:rPr>
          <w:rFonts w:ascii="Times New Roman" w:hAnsi="Times New Roman" w:cs="Times New Roman"/>
          <w:sz w:val="24"/>
          <w:szCs w:val="24"/>
        </w:rPr>
        <w:t xml:space="preserve"> </w:t>
      </w:r>
      <w:r w:rsidR="00DF2114" w:rsidRPr="007637C9">
        <w:rPr>
          <w:rFonts w:ascii="Times New Roman" w:hAnsi="Times New Roman" w:cs="Times New Roman"/>
          <w:sz w:val="24"/>
          <w:szCs w:val="24"/>
        </w:rPr>
        <w:t xml:space="preserve">EPAs </w:t>
      </w:r>
      <w:r w:rsidRPr="007637C9">
        <w:rPr>
          <w:rFonts w:ascii="Times New Roman" w:hAnsi="Times New Roman" w:cs="Times New Roman"/>
          <w:sz w:val="24"/>
          <w:szCs w:val="24"/>
        </w:rPr>
        <w:t xml:space="preserve">will recognise and document capabilities in a formal process that will improve employer confidence and enhance graduate prospects by developing work-readiness and provide quality assurance of </w:t>
      </w:r>
      <w:r w:rsidR="00600E57" w:rsidRPr="007637C9">
        <w:rPr>
          <w:rFonts w:ascii="Times New Roman" w:hAnsi="Times New Roman" w:cs="Times New Roman"/>
          <w:sz w:val="24"/>
          <w:szCs w:val="24"/>
        </w:rPr>
        <w:t>graduate</w:t>
      </w:r>
      <w:r w:rsidRPr="007637C9">
        <w:rPr>
          <w:rFonts w:ascii="Times New Roman" w:hAnsi="Times New Roman" w:cs="Times New Roman"/>
          <w:sz w:val="24"/>
          <w:szCs w:val="24"/>
        </w:rPr>
        <w:t xml:space="preserve"> skills (Sleep &amp; Reed, 2006). </w:t>
      </w:r>
      <w:r w:rsidR="00DF2114" w:rsidRPr="007637C9">
        <w:rPr>
          <w:rFonts w:ascii="Times New Roman" w:hAnsi="Times New Roman" w:cs="Times New Roman"/>
          <w:sz w:val="24"/>
          <w:szCs w:val="24"/>
        </w:rPr>
        <w:t xml:space="preserve">Therefore, embedded EPAs </w:t>
      </w:r>
      <w:r w:rsidRPr="007637C9">
        <w:rPr>
          <w:rFonts w:ascii="Times New Roman" w:hAnsi="Times New Roman" w:cs="Times New Roman"/>
          <w:sz w:val="24"/>
          <w:szCs w:val="24"/>
        </w:rPr>
        <w:t>create a development pathway for all students and act as a pedagogic strategy to improve employability</w:t>
      </w:r>
      <w:r w:rsidR="00926D7B" w:rsidRPr="007637C9">
        <w:rPr>
          <w:rFonts w:ascii="Times New Roman" w:hAnsi="Times New Roman" w:cs="Times New Roman"/>
          <w:sz w:val="24"/>
          <w:szCs w:val="24"/>
        </w:rPr>
        <w:t>.</w:t>
      </w:r>
    </w:p>
    <w:p w14:paraId="5A994D6C" w14:textId="719AB0CE" w:rsidR="00255068" w:rsidRPr="00255068" w:rsidRDefault="00255068" w:rsidP="00255068">
      <w:pPr>
        <w:pStyle w:val="PlainText"/>
        <w:spacing w:after="120" w:line="480" w:lineRule="auto"/>
        <w:rPr>
          <w:rFonts w:ascii="Times New Roman" w:hAnsi="Times New Roman" w:cs="Times New Roman"/>
          <w:sz w:val="24"/>
          <w:szCs w:val="22"/>
        </w:rPr>
      </w:pPr>
      <w:r w:rsidRPr="00255068">
        <w:rPr>
          <w:rFonts w:ascii="Times New Roman" w:hAnsi="Times New Roman" w:cs="Times New Roman"/>
          <w:sz w:val="24"/>
          <w:szCs w:val="22"/>
        </w:rPr>
        <w:t>Established concept</w:t>
      </w:r>
      <w:r>
        <w:rPr>
          <w:rFonts w:ascii="Times New Roman" w:hAnsi="Times New Roman" w:cs="Times New Roman"/>
          <w:sz w:val="24"/>
          <w:szCs w:val="22"/>
        </w:rPr>
        <w:t>s</w:t>
      </w:r>
      <w:r w:rsidRPr="00255068">
        <w:rPr>
          <w:rFonts w:ascii="Times New Roman" w:hAnsi="Times New Roman" w:cs="Times New Roman"/>
          <w:sz w:val="24"/>
          <w:szCs w:val="22"/>
        </w:rPr>
        <w:t xml:space="preserve"> and practice in Higher Education </w:t>
      </w:r>
      <w:r>
        <w:rPr>
          <w:rFonts w:ascii="Times New Roman" w:hAnsi="Times New Roman" w:cs="Times New Roman"/>
          <w:sz w:val="24"/>
          <w:szCs w:val="22"/>
        </w:rPr>
        <w:t>can</w:t>
      </w:r>
      <w:r w:rsidRPr="00255068">
        <w:rPr>
          <w:rFonts w:ascii="Times New Roman" w:hAnsi="Times New Roman" w:cs="Times New Roman"/>
          <w:sz w:val="24"/>
          <w:szCs w:val="22"/>
        </w:rPr>
        <w:t xml:space="preserve"> adopt a model of learning </w:t>
      </w:r>
      <w:r>
        <w:rPr>
          <w:rFonts w:ascii="Times New Roman" w:hAnsi="Times New Roman" w:cs="Times New Roman"/>
          <w:sz w:val="24"/>
          <w:szCs w:val="22"/>
        </w:rPr>
        <w:t xml:space="preserve">that are </w:t>
      </w:r>
      <w:r w:rsidRPr="00255068">
        <w:rPr>
          <w:rFonts w:ascii="Times New Roman" w:hAnsi="Times New Roman" w:cs="Times New Roman"/>
          <w:sz w:val="24"/>
          <w:szCs w:val="22"/>
        </w:rPr>
        <w:t>more attuned to active learner participation in the learning process</w:t>
      </w:r>
      <w:r>
        <w:rPr>
          <w:rFonts w:ascii="Times New Roman" w:hAnsi="Times New Roman" w:cs="Times New Roman"/>
          <w:sz w:val="24"/>
          <w:szCs w:val="22"/>
        </w:rPr>
        <w:t>,</w:t>
      </w:r>
      <w:r w:rsidRPr="00255068">
        <w:rPr>
          <w:rFonts w:ascii="Times New Roman" w:hAnsi="Times New Roman" w:cs="Times New Roman"/>
          <w:sz w:val="24"/>
          <w:szCs w:val="22"/>
        </w:rPr>
        <w:t xml:space="preserve"> rather than passive acquisition of knowledge. Learners </w:t>
      </w:r>
      <w:r w:rsidR="00900628">
        <w:rPr>
          <w:rFonts w:ascii="Times New Roman" w:hAnsi="Times New Roman" w:cs="Times New Roman"/>
          <w:sz w:val="24"/>
          <w:szCs w:val="22"/>
        </w:rPr>
        <w:t>can be</w:t>
      </w:r>
      <w:r w:rsidRPr="00255068">
        <w:rPr>
          <w:rFonts w:ascii="Times New Roman" w:hAnsi="Times New Roman" w:cs="Times New Roman"/>
          <w:sz w:val="24"/>
          <w:szCs w:val="22"/>
        </w:rPr>
        <w:t xml:space="preserve"> co-creators of their learning content and activities, assessment criteria</w:t>
      </w:r>
      <w:r>
        <w:rPr>
          <w:rFonts w:ascii="Times New Roman" w:hAnsi="Times New Roman" w:cs="Times New Roman"/>
          <w:sz w:val="24"/>
          <w:szCs w:val="22"/>
        </w:rPr>
        <w:t>,</w:t>
      </w:r>
      <w:r w:rsidRPr="00255068">
        <w:rPr>
          <w:rFonts w:ascii="Times New Roman" w:hAnsi="Times New Roman" w:cs="Times New Roman"/>
          <w:sz w:val="24"/>
          <w:szCs w:val="22"/>
        </w:rPr>
        <w:t xml:space="preserve"> and marking rubrics</w:t>
      </w:r>
      <w:r>
        <w:rPr>
          <w:rFonts w:ascii="Times New Roman" w:hAnsi="Times New Roman" w:cs="Times New Roman"/>
          <w:sz w:val="24"/>
          <w:szCs w:val="22"/>
        </w:rPr>
        <w:t>.</w:t>
      </w:r>
      <w:r w:rsidRPr="00255068">
        <w:rPr>
          <w:rFonts w:ascii="Times New Roman" w:hAnsi="Times New Roman" w:cs="Times New Roman"/>
          <w:sz w:val="24"/>
          <w:szCs w:val="22"/>
        </w:rPr>
        <w:t xml:space="preserve"> </w:t>
      </w:r>
      <w:r>
        <w:rPr>
          <w:rFonts w:ascii="Times New Roman" w:hAnsi="Times New Roman" w:cs="Times New Roman"/>
          <w:sz w:val="24"/>
          <w:szCs w:val="22"/>
        </w:rPr>
        <w:t>This</w:t>
      </w:r>
      <w:r w:rsidRPr="00255068">
        <w:rPr>
          <w:rFonts w:ascii="Times New Roman" w:hAnsi="Times New Roman" w:cs="Times New Roman"/>
          <w:sz w:val="24"/>
          <w:szCs w:val="22"/>
        </w:rPr>
        <w:t xml:space="preserve"> develop</w:t>
      </w:r>
      <w:r>
        <w:rPr>
          <w:rFonts w:ascii="Times New Roman" w:hAnsi="Times New Roman" w:cs="Times New Roman"/>
          <w:sz w:val="24"/>
          <w:szCs w:val="22"/>
        </w:rPr>
        <w:t>s</w:t>
      </w:r>
      <w:r w:rsidRPr="00255068">
        <w:rPr>
          <w:rFonts w:ascii="Times New Roman" w:hAnsi="Times New Roman" w:cs="Times New Roman"/>
          <w:sz w:val="24"/>
          <w:szCs w:val="22"/>
        </w:rPr>
        <w:t xml:space="preserve"> a stronger sense of belonging and deeper student-tutor relationships within an open and transparent community of practice</w:t>
      </w:r>
      <w:r>
        <w:rPr>
          <w:rFonts w:ascii="Times New Roman" w:hAnsi="Times New Roman" w:cs="Times New Roman"/>
          <w:sz w:val="24"/>
          <w:szCs w:val="22"/>
        </w:rPr>
        <w:t>,</w:t>
      </w:r>
      <w:r w:rsidRPr="00255068">
        <w:rPr>
          <w:rFonts w:ascii="Times New Roman" w:hAnsi="Times New Roman" w:cs="Times New Roman"/>
          <w:sz w:val="24"/>
          <w:szCs w:val="22"/>
        </w:rPr>
        <w:t xml:space="preserve"> thus affirming their agency as 21st-century learners (Dawson, Cook</w:t>
      </w:r>
      <w:r>
        <w:rPr>
          <w:rFonts w:ascii="Times New Roman" w:hAnsi="Times New Roman" w:cs="Times New Roman"/>
          <w:sz w:val="24"/>
          <w:szCs w:val="22"/>
        </w:rPr>
        <w:t>,</w:t>
      </w:r>
      <w:r w:rsidRPr="00255068">
        <w:rPr>
          <w:rFonts w:ascii="Times New Roman" w:hAnsi="Times New Roman" w:cs="Times New Roman"/>
          <w:sz w:val="24"/>
          <w:szCs w:val="22"/>
        </w:rPr>
        <w:t xml:space="preserve"> </w:t>
      </w:r>
      <w:r>
        <w:rPr>
          <w:rFonts w:ascii="Times New Roman" w:hAnsi="Times New Roman" w:cs="Times New Roman"/>
          <w:sz w:val="24"/>
          <w:szCs w:val="22"/>
        </w:rPr>
        <w:t>&amp;</w:t>
      </w:r>
      <w:r w:rsidRPr="00255068">
        <w:rPr>
          <w:rFonts w:ascii="Times New Roman" w:hAnsi="Times New Roman" w:cs="Times New Roman"/>
          <w:sz w:val="24"/>
          <w:szCs w:val="22"/>
        </w:rPr>
        <w:t xml:space="preserve"> Lambton, 2014; Gros </w:t>
      </w:r>
      <w:r>
        <w:rPr>
          <w:rFonts w:ascii="Times New Roman" w:hAnsi="Times New Roman" w:cs="Times New Roman"/>
          <w:sz w:val="24"/>
          <w:szCs w:val="22"/>
        </w:rPr>
        <w:t>&amp;</w:t>
      </w:r>
      <w:r w:rsidRPr="00255068">
        <w:rPr>
          <w:rFonts w:ascii="Times New Roman" w:hAnsi="Times New Roman" w:cs="Times New Roman"/>
          <w:sz w:val="24"/>
          <w:szCs w:val="22"/>
        </w:rPr>
        <w:t xml:space="preserve"> Lopez, 2016)</w:t>
      </w:r>
      <w:r w:rsidR="00900628">
        <w:rPr>
          <w:rFonts w:ascii="Times New Roman" w:hAnsi="Times New Roman" w:cs="Times New Roman"/>
          <w:sz w:val="24"/>
          <w:szCs w:val="22"/>
        </w:rPr>
        <w:t>, that may produce ownership of development and enhance professionalism</w:t>
      </w:r>
      <w:r w:rsidRPr="00255068">
        <w:rPr>
          <w:rFonts w:ascii="Times New Roman" w:hAnsi="Times New Roman" w:cs="Times New Roman"/>
          <w:sz w:val="24"/>
          <w:szCs w:val="22"/>
        </w:rPr>
        <w:t>.</w:t>
      </w:r>
    </w:p>
    <w:p w14:paraId="0B02A16F" w14:textId="4F046456" w:rsidR="006D6107" w:rsidRPr="007637C9" w:rsidRDefault="006D6107"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The British Association of Sport and Exercise Sciences (BASES) is the</w:t>
      </w:r>
      <w:r w:rsidR="006806B5" w:rsidRPr="007637C9">
        <w:rPr>
          <w:rFonts w:ascii="Times New Roman" w:hAnsi="Times New Roman" w:cs="Times New Roman"/>
          <w:sz w:val="24"/>
          <w:szCs w:val="24"/>
        </w:rPr>
        <w:t xml:space="preserve"> professional</w:t>
      </w:r>
      <w:r w:rsidRPr="007637C9">
        <w:rPr>
          <w:rFonts w:ascii="Times New Roman" w:eastAsia="Times New Roman" w:hAnsi="Times New Roman" w:cs="Times New Roman"/>
          <w:color w:val="000000"/>
          <w:sz w:val="24"/>
          <w:szCs w:val="24"/>
          <w:lang w:eastAsia="en-GB"/>
        </w:rPr>
        <w:t xml:space="preserve"> body overseeing </w:t>
      </w:r>
      <w:r w:rsidR="006806B5" w:rsidRPr="007637C9">
        <w:rPr>
          <w:rFonts w:ascii="Times New Roman" w:eastAsia="Times New Roman" w:hAnsi="Times New Roman" w:cs="Times New Roman"/>
          <w:color w:val="000000"/>
          <w:sz w:val="24"/>
          <w:szCs w:val="24"/>
          <w:lang w:eastAsia="en-GB"/>
        </w:rPr>
        <w:t>s</w:t>
      </w:r>
      <w:r w:rsidRPr="007637C9">
        <w:rPr>
          <w:rFonts w:ascii="Times New Roman" w:eastAsia="Times New Roman" w:hAnsi="Times New Roman" w:cs="Times New Roman"/>
          <w:color w:val="000000"/>
          <w:sz w:val="24"/>
          <w:szCs w:val="24"/>
          <w:lang w:eastAsia="en-GB"/>
        </w:rPr>
        <w:t xml:space="preserve">port </w:t>
      </w:r>
      <w:r w:rsidR="006806B5" w:rsidRPr="007637C9">
        <w:rPr>
          <w:rFonts w:ascii="Times New Roman" w:eastAsia="Times New Roman" w:hAnsi="Times New Roman" w:cs="Times New Roman"/>
          <w:color w:val="000000"/>
          <w:sz w:val="24"/>
          <w:szCs w:val="24"/>
          <w:lang w:eastAsia="en-GB"/>
        </w:rPr>
        <w:t>and e</w:t>
      </w:r>
      <w:r w:rsidRPr="007637C9">
        <w:rPr>
          <w:rFonts w:ascii="Times New Roman" w:eastAsia="Times New Roman" w:hAnsi="Times New Roman" w:cs="Times New Roman"/>
          <w:color w:val="000000"/>
          <w:sz w:val="24"/>
          <w:szCs w:val="24"/>
          <w:lang w:eastAsia="en-GB"/>
        </w:rPr>
        <w:t xml:space="preserve">xercise </w:t>
      </w:r>
      <w:r w:rsidR="006806B5" w:rsidRPr="007637C9">
        <w:rPr>
          <w:rFonts w:ascii="Times New Roman" w:eastAsia="Times New Roman" w:hAnsi="Times New Roman" w:cs="Times New Roman"/>
          <w:color w:val="000000"/>
          <w:sz w:val="24"/>
          <w:szCs w:val="24"/>
          <w:lang w:eastAsia="en-GB"/>
        </w:rPr>
        <w:t>s</w:t>
      </w:r>
      <w:r w:rsidRPr="007637C9">
        <w:rPr>
          <w:rFonts w:ascii="Times New Roman" w:eastAsia="Times New Roman" w:hAnsi="Times New Roman" w:cs="Times New Roman"/>
          <w:color w:val="000000"/>
          <w:sz w:val="24"/>
          <w:szCs w:val="24"/>
          <w:lang w:eastAsia="en-GB"/>
        </w:rPr>
        <w:t>ciences in the U</w:t>
      </w:r>
      <w:r w:rsidR="006806B5" w:rsidRPr="007637C9">
        <w:rPr>
          <w:rFonts w:ascii="Times New Roman" w:eastAsia="Times New Roman" w:hAnsi="Times New Roman" w:cs="Times New Roman"/>
          <w:color w:val="000000"/>
          <w:sz w:val="24"/>
          <w:szCs w:val="24"/>
          <w:lang w:eastAsia="en-GB"/>
        </w:rPr>
        <w:t>n</w:t>
      </w:r>
      <w:r w:rsidRPr="007637C9">
        <w:rPr>
          <w:rFonts w:ascii="Times New Roman" w:eastAsia="Times New Roman" w:hAnsi="Times New Roman" w:cs="Times New Roman"/>
          <w:color w:val="000000"/>
          <w:sz w:val="24"/>
          <w:szCs w:val="24"/>
          <w:lang w:eastAsia="en-GB"/>
        </w:rPr>
        <w:t xml:space="preserve">ited Kingdom.  </w:t>
      </w:r>
      <w:r w:rsidR="0076448F" w:rsidRPr="007637C9">
        <w:rPr>
          <w:rFonts w:ascii="Times New Roman" w:eastAsia="Times New Roman" w:hAnsi="Times New Roman" w:cs="Times New Roman"/>
          <w:color w:val="000000"/>
          <w:sz w:val="24"/>
          <w:szCs w:val="24"/>
          <w:lang w:eastAsia="en-GB"/>
        </w:rPr>
        <w:t xml:space="preserve">The aim of the association is to drive excellence in sport and exercise science across three key themes of research, </w:t>
      </w:r>
      <w:r w:rsidR="00C05E3C" w:rsidRPr="007637C9">
        <w:rPr>
          <w:rFonts w:ascii="Times New Roman" w:eastAsia="Times New Roman" w:hAnsi="Times New Roman" w:cs="Times New Roman"/>
          <w:color w:val="000000"/>
          <w:sz w:val="24"/>
          <w:szCs w:val="24"/>
          <w:lang w:eastAsia="en-GB"/>
        </w:rPr>
        <w:t xml:space="preserve">applied </w:t>
      </w:r>
      <w:r w:rsidR="0076448F" w:rsidRPr="007637C9">
        <w:rPr>
          <w:rFonts w:ascii="Times New Roman" w:eastAsia="Times New Roman" w:hAnsi="Times New Roman" w:cs="Times New Roman"/>
          <w:color w:val="000000"/>
          <w:sz w:val="24"/>
          <w:szCs w:val="24"/>
          <w:lang w:eastAsia="en-GB"/>
        </w:rPr>
        <w:t xml:space="preserve">practical support, pedagogy, and the development of professional standards through supervision, accreditation, and endorsement.  </w:t>
      </w:r>
      <w:r w:rsidRPr="007637C9">
        <w:rPr>
          <w:rFonts w:ascii="Times New Roman" w:hAnsi="Times New Roman" w:cs="Times New Roman"/>
          <w:sz w:val="24"/>
          <w:szCs w:val="24"/>
        </w:rPr>
        <w:t>The outline for BASES Accreditation</w:t>
      </w:r>
      <w:r w:rsidR="00354A68" w:rsidRPr="007637C9">
        <w:rPr>
          <w:rFonts w:ascii="Times New Roman" w:hAnsi="Times New Roman" w:cs="Times New Roman"/>
          <w:sz w:val="24"/>
          <w:szCs w:val="24"/>
        </w:rPr>
        <w:t xml:space="preserve"> </w:t>
      </w:r>
      <w:r w:rsidR="00354A68" w:rsidRPr="007637C9">
        <w:rPr>
          <w:rFonts w:ascii="Times New Roman" w:hAnsi="Times New Roman" w:cs="Times New Roman"/>
          <w:sz w:val="24"/>
          <w:szCs w:val="24"/>
        </w:rPr>
        <w:lastRenderedPageBreak/>
        <w:t>(</w:t>
      </w:r>
      <w:r w:rsidR="000767B7" w:rsidRPr="007637C9">
        <w:rPr>
          <w:rFonts w:ascii="Times New Roman" w:hAnsi="Times New Roman" w:cs="Times New Roman"/>
          <w:sz w:val="24"/>
          <w:szCs w:val="24"/>
        </w:rPr>
        <w:t>https://www.bases.org.uk/sspage-professional_development-accreditation_and_endorsement-bases_accreditation.html</w:t>
      </w:r>
      <w:r w:rsidR="00354A68" w:rsidRPr="007637C9">
        <w:rPr>
          <w:rFonts w:ascii="Times New Roman" w:hAnsi="Times New Roman" w:cs="Times New Roman"/>
          <w:sz w:val="24"/>
          <w:szCs w:val="24"/>
        </w:rPr>
        <w:t xml:space="preserve">) </w:t>
      </w:r>
      <w:r w:rsidRPr="007637C9">
        <w:rPr>
          <w:rFonts w:ascii="Times New Roman" w:hAnsi="Times New Roman" w:cs="Times New Roman"/>
          <w:sz w:val="24"/>
          <w:szCs w:val="24"/>
        </w:rPr>
        <w:t>states that it is a professional standard to practitioners deemed necessary to practice safely and effectively</w:t>
      </w:r>
      <w:r w:rsidRPr="007637C9">
        <w:rPr>
          <w:rFonts w:ascii="Times New Roman" w:eastAsia="Times New Roman" w:hAnsi="Times New Roman" w:cs="Times New Roman"/>
          <w:color w:val="000000"/>
          <w:sz w:val="24"/>
          <w:szCs w:val="24"/>
          <w:lang w:eastAsia="en-GB"/>
        </w:rPr>
        <w:t xml:space="preserve">, </w:t>
      </w:r>
      <w:r w:rsidR="0076448F" w:rsidRPr="007637C9">
        <w:rPr>
          <w:rFonts w:ascii="Times New Roman" w:eastAsia="Times New Roman" w:hAnsi="Times New Roman" w:cs="Times New Roman"/>
          <w:color w:val="000000"/>
          <w:sz w:val="24"/>
          <w:szCs w:val="24"/>
          <w:lang w:eastAsia="en-GB"/>
        </w:rPr>
        <w:t xml:space="preserve">through the effective demonstration of skills, knowledge, and understanding of sport and exercise sciences principles in one of the three key </w:t>
      </w:r>
      <w:r w:rsidR="00C05E3C" w:rsidRPr="007637C9">
        <w:rPr>
          <w:rFonts w:ascii="Times New Roman" w:eastAsia="Times New Roman" w:hAnsi="Times New Roman" w:cs="Times New Roman"/>
          <w:color w:val="000000"/>
          <w:sz w:val="24"/>
          <w:szCs w:val="24"/>
          <w:lang w:eastAsia="en-GB"/>
        </w:rPr>
        <w:t>sub-</w:t>
      </w:r>
      <w:r w:rsidR="0076448F" w:rsidRPr="007637C9">
        <w:rPr>
          <w:rFonts w:ascii="Times New Roman" w:eastAsia="Times New Roman" w:hAnsi="Times New Roman" w:cs="Times New Roman"/>
          <w:color w:val="000000"/>
          <w:sz w:val="24"/>
          <w:szCs w:val="24"/>
          <w:lang w:eastAsia="en-GB"/>
        </w:rPr>
        <w:t>disciplines of biomechanics, physiology, or psychology, or from an interdisciplinary perspective.  T</w:t>
      </w:r>
      <w:r w:rsidRPr="007637C9">
        <w:rPr>
          <w:rFonts w:ascii="Times New Roman" w:eastAsia="Times New Roman" w:hAnsi="Times New Roman" w:cs="Times New Roman"/>
          <w:color w:val="000000"/>
          <w:sz w:val="24"/>
          <w:szCs w:val="24"/>
          <w:lang w:eastAsia="en-GB"/>
        </w:rPr>
        <w:t xml:space="preserve">he criteria for accreditation </w:t>
      </w:r>
      <w:r w:rsidR="00C05E3C" w:rsidRPr="007637C9">
        <w:rPr>
          <w:rFonts w:ascii="Times New Roman" w:eastAsia="Times New Roman" w:hAnsi="Times New Roman" w:cs="Times New Roman"/>
          <w:color w:val="000000"/>
          <w:sz w:val="24"/>
          <w:szCs w:val="24"/>
          <w:lang w:eastAsia="en-GB"/>
        </w:rPr>
        <w:t>are based on achieving and displaying competency</w:t>
      </w:r>
      <w:r w:rsidRPr="007637C9">
        <w:rPr>
          <w:rFonts w:ascii="Times New Roman" w:eastAsia="Times New Roman" w:hAnsi="Times New Roman" w:cs="Times New Roman"/>
          <w:color w:val="000000"/>
          <w:sz w:val="24"/>
          <w:szCs w:val="24"/>
          <w:lang w:eastAsia="en-GB"/>
        </w:rPr>
        <w:t xml:space="preserve"> </w:t>
      </w:r>
      <w:r w:rsidR="00C05E3C" w:rsidRPr="007637C9">
        <w:rPr>
          <w:rFonts w:ascii="Times New Roman" w:eastAsia="Times New Roman" w:hAnsi="Times New Roman" w:cs="Times New Roman"/>
          <w:color w:val="000000"/>
          <w:sz w:val="24"/>
          <w:szCs w:val="24"/>
          <w:lang w:eastAsia="en-GB"/>
        </w:rPr>
        <w:t>within the chosen sub-discipline, with the competencies developed through an appropriate sport and exercise curriculum</w:t>
      </w:r>
      <w:r w:rsidRPr="007637C9">
        <w:rPr>
          <w:rFonts w:ascii="Times New Roman" w:eastAsia="Times New Roman" w:hAnsi="Times New Roman" w:cs="Times New Roman"/>
          <w:color w:val="000000"/>
          <w:sz w:val="24"/>
          <w:szCs w:val="24"/>
          <w:lang w:eastAsia="en-GB"/>
        </w:rPr>
        <w:t>.</w:t>
      </w:r>
      <w:r w:rsidR="00C05E3C" w:rsidRPr="007637C9">
        <w:rPr>
          <w:rFonts w:ascii="Times New Roman" w:eastAsia="Times New Roman" w:hAnsi="Times New Roman" w:cs="Times New Roman"/>
          <w:color w:val="000000"/>
          <w:sz w:val="24"/>
          <w:szCs w:val="24"/>
          <w:lang w:eastAsia="en-GB"/>
        </w:rPr>
        <w:t xml:space="preserve">  Therefore, aligning the curriculum to the BASES accreditation through an EPA framework will facilitate teaching and learning</w:t>
      </w:r>
      <w:r w:rsidR="00354A68" w:rsidRPr="007637C9">
        <w:rPr>
          <w:rFonts w:ascii="Times New Roman" w:eastAsia="Times New Roman" w:hAnsi="Times New Roman" w:cs="Times New Roman"/>
          <w:color w:val="000000"/>
          <w:sz w:val="24"/>
          <w:szCs w:val="24"/>
          <w:lang w:eastAsia="en-GB"/>
        </w:rPr>
        <w:t>,</w:t>
      </w:r>
      <w:r w:rsidR="00C05E3C" w:rsidRPr="007637C9">
        <w:rPr>
          <w:rFonts w:ascii="Times New Roman" w:eastAsia="Times New Roman" w:hAnsi="Times New Roman" w:cs="Times New Roman"/>
          <w:color w:val="000000"/>
          <w:sz w:val="24"/>
          <w:szCs w:val="24"/>
          <w:lang w:eastAsia="en-GB"/>
        </w:rPr>
        <w:t xml:space="preserve"> </w:t>
      </w:r>
      <w:r w:rsidR="00354A68" w:rsidRPr="007637C9">
        <w:rPr>
          <w:rFonts w:ascii="Times New Roman" w:eastAsia="Times New Roman" w:hAnsi="Times New Roman" w:cs="Times New Roman"/>
          <w:color w:val="000000"/>
          <w:sz w:val="24"/>
          <w:szCs w:val="24"/>
          <w:lang w:eastAsia="en-GB"/>
        </w:rPr>
        <w:t xml:space="preserve">and the enhancement of professionalism </w:t>
      </w:r>
      <w:r w:rsidR="00C05E3C" w:rsidRPr="007637C9">
        <w:rPr>
          <w:rFonts w:ascii="Times New Roman" w:eastAsia="Times New Roman" w:hAnsi="Times New Roman" w:cs="Times New Roman"/>
          <w:color w:val="000000"/>
          <w:sz w:val="24"/>
          <w:szCs w:val="24"/>
          <w:lang w:eastAsia="en-GB"/>
        </w:rPr>
        <w:t>within this academic field.</w:t>
      </w:r>
    </w:p>
    <w:p w14:paraId="603F7377" w14:textId="79F711AC" w:rsidR="00CD503F" w:rsidRPr="007637C9" w:rsidRDefault="005D5187"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The aim</w:t>
      </w:r>
      <w:r w:rsidR="00600E57" w:rsidRPr="007637C9">
        <w:rPr>
          <w:rFonts w:ascii="Times New Roman" w:hAnsi="Times New Roman" w:cs="Times New Roman"/>
          <w:sz w:val="24"/>
          <w:szCs w:val="24"/>
        </w:rPr>
        <w:t xml:space="preserve"> of this paper</w:t>
      </w:r>
      <w:r w:rsidRPr="007637C9">
        <w:rPr>
          <w:rFonts w:ascii="Times New Roman" w:hAnsi="Times New Roman" w:cs="Times New Roman"/>
          <w:sz w:val="24"/>
          <w:szCs w:val="24"/>
        </w:rPr>
        <w:t xml:space="preserve"> </w:t>
      </w:r>
      <w:r w:rsidR="00A94967" w:rsidRPr="007637C9">
        <w:rPr>
          <w:rFonts w:ascii="Times New Roman" w:hAnsi="Times New Roman" w:cs="Times New Roman"/>
          <w:sz w:val="24"/>
          <w:szCs w:val="24"/>
        </w:rPr>
        <w:t>wa</w:t>
      </w:r>
      <w:r w:rsidRPr="007637C9">
        <w:rPr>
          <w:rFonts w:ascii="Times New Roman" w:hAnsi="Times New Roman" w:cs="Times New Roman"/>
          <w:sz w:val="24"/>
          <w:szCs w:val="24"/>
        </w:rPr>
        <w:t xml:space="preserve">s to describe </w:t>
      </w:r>
      <w:r w:rsidR="00A94967" w:rsidRPr="007637C9">
        <w:rPr>
          <w:rFonts w:ascii="Times New Roman" w:hAnsi="Times New Roman" w:cs="Times New Roman"/>
          <w:sz w:val="24"/>
          <w:szCs w:val="24"/>
        </w:rPr>
        <w:t xml:space="preserve">the implementation of </w:t>
      </w:r>
      <w:r w:rsidRPr="007637C9">
        <w:rPr>
          <w:rFonts w:ascii="Times New Roman" w:hAnsi="Times New Roman" w:cs="Times New Roman"/>
          <w:sz w:val="24"/>
          <w:szCs w:val="24"/>
        </w:rPr>
        <w:t>entrustable professional activities in</w:t>
      </w:r>
      <w:r w:rsidR="00A94967" w:rsidRPr="007637C9">
        <w:rPr>
          <w:rFonts w:ascii="Times New Roman" w:hAnsi="Times New Roman" w:cs="Times New Roman"/>
          <w:sz w:val="24"/>
          <w:szCs w:val="24"/>
        </w:rPr>
        <w:t>to the curriculum for</w:t>
      </w:r>
      <w:r w:rsidRPr="007637C9">
        <w:rPr>
          <w:rFonts w:ascii="Times New Roman" w:hAnsi="Times New Roman" w:cs="Times New Roman"/>
          <w:sz w:val="24"/>
          <w:szCs w:val="24"/>
        </w:rPr>
        <w:t xml:space="preserve"> Sport </w:t>
      </w:r>
      <w:r w:rsidR="00A94967" w:rsidRPr="007637C9">
        <w:rPr>
          <w:rFonts w:ascii="Times New Roman" w:hAnsi="Times New Roman" w:cs="Times New Roman"/>
          <w:sz w:val="24"/>
          <w:szCs w:val="24"/>
        </w:rPr>
        <w:t>and</w:t>
      </w:r>
      <w:r w:rsidRPr="007637C9">
        <w:rPr>
          <w:rFonts w:ascii="Times New Roman" w:hAnsi="Times New Roman" w:cs="Times New Roman"/>
          <w:sz w:val="24"/>
          <w:szCs w:val="24"/>
        </w:rPr>
        <w:t xml:space="preserve"> Exercise Sciences </w:t>
      </w:r>
      <w:r w:rsidR="00A94967" w:rsidRPr="007637C9">
        <w:rPr>
          <w:rFonts w:ascii="Times New Roman" w:hAnsi="Times New Roman" w:cs="Times New Roman"/>
          <w:sz w:val="24"/>
          <w:szCs w:val="24"/>
        </w:rPr>
        <w:t xml:space="preserve">in </w:t>
      </w:r>
      <w:r w:rsidRPr="007637C9">
        <w:rPr>
          <w:rFonts w:ascii="Times New Roman" w:hAnsi="Times New Roman" w:cs="Times New Roman"/>
          <w:sz w:val="24"/>
          <w:szCs w:val="24"/>
        </w:rPr>
        <w:t>higher education</w:t>
      </w:r>
      <w:r w:rsidR="00A94967" w:rsidRPr="007637C9">
        <w:rPr>
          <w:rFonts w:ascii="Times New Roman" w:hAnsi="Times New Roman" w:cs="Times New Roman"/>
          <w:sz w:val="24"/>
          <w:szCs w:val="24"/>
        </w:rPr>
        <w:t>,</w:t>
      </w:r>
      <w:r w:rsidR="001301CF" w:rsidRPr="007637C9">
        <w:rPr>
          <w:rFonts w:ascii="Times New Roman" w:hAnsi="Times New Roman" w:cs="Times New Roman"/>
          <w:sz w:val="24"/>
          <w:szCs w:val="24"/>
        </w:rPr>
        <w:t xml:space="preserve"> </w:t>
      </w:r>
      <w:r w:rsidRPr="007637C9">
        <w:rPr>
          <w:rFonts w:ascii="Times New Roman" w:hAnsi="Times New Roman" w:cs="Times New Roman"/>
          <w:sz w:val="24"/>
          <w:szCs w:val="24"/>
        </w:rPr>
        <w:t xml:space="preserve">and to present </w:t>
      </w:r>
      <w:r w:rsidR="00611887" w:rsidRPr="007637C9">
        <w:rPr>
          <w:rFonts w:ascii="Times New Roman" w:hAnsi="Times New Roman" w:cs="Times New Roman"/>
          <w:sz w:val="24"/>
          <w:szCs w:val="24"/>
        </w:rPr>
        <w:t xml:space="preserve">the development of </w:t>
      </w:r>
      <w:r w:rsidRPr="007637C9">
        <w:rPr>
          <w:rFonts w:ascii="Times New Roman" w:hAnsi="Times New Roman" w:cs="Times New Roman"/>
          <w:sz w:val="24"/>
          <w:szCs w:val="24"/>
        </w:rPr>
        <w:t xml:space="preserve">an EPA framework.  </w:t>
      </w:r>
      <w:r w:rsidR="00CD503F" w:rsidRPr="007637C9">
        <w:rPr>
          <w:rFonts w:ascii="Times New Roman" w:hAnsi="Times New Roman" w:cs="Times New Roman"/>
          <w:sz w:val="24"/>
          <w:szCs w:val="24"/>
        </w:rPr>
        <w:t xml:space="preserve">Once the EPAs have been identified and defined, </w:t>
      </w:r>
      <w:r w:rsidRPr="007637C9">
        <w:rPr>
          <w:rFonts w:ascii="Times New Roman" w:hAnsi="Times New Roman" w:cs="Times New Roman"/>
          <w:sz w:val="24"/>
          <w:szCs w:val="24"/>
        </w:rPr>
        <w:t>a</w:t>
      </w:r>
      <w:r w:rsidR="00CD503F" w:rsidRPr="007637C9">
        <w:rPr>
          <w:rFonts w:ascii="Times New Roman" w:hAnsi="Times New Roman" w:cs="Times New Roman"/>
          <w:sz w:val="24"/>
          <w:szCs w:val="24"/>
        </w:rPr>
        <w:t xml:space="preserve"> matrix </w:t>
      </w:r>
      <w:r w:rsidRPr="007637C9">
        <w:rPr>
          <w:rFonts w:ascii="Times New Roman" w:hAnsi="Times New Roman" w:cs="Times New Roman"/>
          <w:sz w:val="24"/>
          <w:szCs w:val="24"/>
        </w:rPr>
        <w:t>is</w:t>
      </w:r>
      <w:r w:rsidR="00CD503F" w:rsidRPr="007637C9">
        <w:rPr>
          <w:rFonts w:ascii="Times New Roman" w:hAnsi="Times New Roman" w:cs="Times New Roman"/>
          <w:sz w:val="24"/>
          <w:szCs w:val="24"/>
        </w:rPr>
        <w:t xml:space="preserve"> created for each EPA, describing the competency domains, required </w:t>
      </w:r>
      <w:r w:rsidR="00A70290" w:rsidRPr="007637C9">
        <w:rPr>
          <w:rFonts w:ascii="Times New Roman" w:hAnsi="Times New Roman" w:cs="Times New Roman"/>
          <w:sz w:val="24"/>
          <w:szCs w:val="24"/>
        </w:rPr>
        <w:t xml:space="preserve">knowledge and </w:t>
      </w:r>
      <w:r w:rsidR="00CD503F" w:rsidRPr="007637C9">
        <w:rPr>
          <w:rFonts w:ascii="Times New Roman" w:hAnsi="Times New Roman" w:cs="Times New Roman"/>
          <w:sz w:val="24"/>
          <w:szCs w:val="24"/>
        </w:rPr>
        <w:t>skill</w:t>
      </w:r>
      <w:r w:rsidR="00B30BEF" w:rsidRPr="007637C9">
        <w:rPr>
          <w:rFonts w:ascii="Times New Roman" w:hAnsi="Times New Roman" w:cs="Times New Roman"/>
          <w:sz w:val="24"/>
          <w:szCs w:val="24"/>
        </w:rPr>
        <w:t>s</w:t>
      </w:r>
      <w:r w:rsidR="00CD503F" w:rsidRPr="007637C9">
        <w:rPr>
          <w:rFonts w:ascii="Times New Roman" w:hAnsi="Times New Roman" w:cs="Times New Roman"/>
          <w:sz w:val="24"/>
          <w:szCs w:val="24"/>
        </w:rPr>
        <w:t xml:space="preserve">, </w:t>
      </w:r>
      <w:r w:rsidR="00B30BEF" w:rsidRPr="007637C9">
        <w:rPr>
          <w:rFonts w:ascii="Times New Roman" w:hAnsi="Times New Roman" w:cs="Times New Roman"/>
          <w:sz w:val="24"/>
          <w:szCs w:val="24"/>
        </w:rPr>
        <w:t>alignment</w:t>
      </w:r>
      <w:r w:rsidR="00CD503F" w:rsidRPr="007637C9">
        <w:rPr>
          <w:rFonts w:ascii="Times New Roman" w:hAnsi="Times New Roman" w:cs="Times New Roman"/>
          <w:sz w:val="24"/>
          <w:szCs w:val="24"/>
        </w:rPr>
        <w:t xml:space="preserve"> with the </w:t>
      </w:r>
      <w:r w:rsidRPr="007637C9">
        <w:rPr>
          <w:rFonts w:ascii="Times New Roman" w:hAnsi="Times New Roman" w:cs="Times New Roman"/>
          <w:sz w:val="24"/>
          <w:szCs w:val="24"/>
        </w:rPr>
        <w:t>BA</w:t>
      </w:r>
      <w:r w:rsidR="00CD503F" w:rsidRPr="007637C9">
        <w:rPr>
          <w:rFonts w:ascii="Times New Roman" w:hAnsi="Times New Roman" w:cs="Times New Roman"/>
          <w:sz w:val="24"/>
          <w:szCs w:val="24"/>
        </w:rPr>
        <w:t xml:space="preserve">SES Accreditation and methods of assessment and timeframe. </w:t>
      </w:r>
    </w:p>
    <w:p w14:paraId="15188C72" w14:textId="7C87FB34" w:rsidR="00CD503F" w:rsidRPr="00CF4068" w:rsidRDefault="00CF4068" w:rsidP="00CF4068">
      <w:pPr>
        <w:pStyle w:val="ListParagraph"/>
        <w:keepNext/>
        <w:numPr>
          <w:ilvl w:val="1"/>
          <w:numId w:val="2"/>
        </w:numPr>
        <w:tabs>
          <w:tab w:val="left" w:pos="6840"/>
        </w:tabs>
        <w:spacing w:after="120" w:line="480" w:lineRule="auto"/>
        <w:rPr>
          <w:b/>
          <w:bCs/>
          <w:i/>
          <w:iCs/>
        </w:rPr>
      </w:pPr>
      <w:r>
        <w:rPr>
          <w:b/>
          <w:bCs/>
          <w:i/>
          <w:iCs/>
        </w:rPr>
        <w:t xml:space="preserve"> </w:t>
      </w:r>
      <w:r w:rsidR="00CD503F" w:rsidRPr="00CF4068">
        <w:rPr>
          <w:b/>
          <w:bCs/>
          <w:i/>
          <w:iCs/>
        </w:rPr>
        <w:t>Competency-Based Medical Education</w:t>
      </w:r>
    </w:p>
    <w:p w14:paraId="69D0AB7B" w14:textId="5D619816" w:rsidR="00CD503F" w:rsidRPr="007637C9" w:rsidRDefault="00CD503F"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Competency-based medical education (CBME) is a widely used approach for teaching undergraduate medical students </w:t>
      </w:r>
      <w:r w:rsidR="00A94967" w:rsidRPr="007637C9">
        <w:rPr>
          <w:rFonts w:ascii="Times New Roman" w:hAnsi="Times New Roman" w:cs="Times New Roman"/>
          <w:sz w:val="24"/>
          <w:szCs w:val="24"/>
        </w:rPr>
        <w:t>globally</w:t>
      </w:r>
      <w:r w:rsidRPr="007637C9">
        <w:rPr>
          <w:rFonts w:ascii="Times New Roman" w:hAnsi="Times New Roman" w:cs="Times New Roman"/>
          <w:sz w:val="24"/>
          <w:szCs w:val="24"/>
        </w:rPr>
        <w:t xml:space="preserve">. The approach has roots within the outcome-based education that arose in the 1970’s (Block, 1974) </w:t>
      </w:r>
      <w:r w:rsidR="00AC4FE1" w:rsidRPr="007637C9">
        <w:rPr>
          <w:rFonts w:ascii="Times New Roman" w:hAnsi="Times New Roman" w:cs="Times New Roman"/>
          <w:sz w:val="24"/>
          <w:szCs w:val="24"/>
        </w:rPr>
        <w:t>and is st</w:t>
      </w:r>
      <w:r w:rsidRPr="007637C9">
        <w:rPr>
          <w:rFonts w:ascii="Times New Roman" w:hAnsi="Times New Roman" w:cs="Times New Roman"/>
          <w:sz w:val="24"/>
          <w:szCs w:val="24"/>
        </w:rPr>
        <w:t>ill widely used in higher education settings</w:t>
      </w:r>
      <w:r w:rsidR="005D7F50" w:rsidRPr="007637C9">
        <w:rPr>
          <w:rFonts w:ascii="Times New Roman" w:hAnsi="Times New Roman" w:cs="Times New Roman"/>
          <w:sz w:val="24"/>
          <w:szCs w:val="24"/>
        </w:rPr>
        <w:t>,</w:t>
      </w:r>
      <w:r w:rsidR="00BB070F" w:rsidRPr="007637C9">
        <w:rPr>
          <w:rFonts w:ascii="Times New Roman" w:hAnsi="Times New Roman" w:cs="Times New Roman"/>
          <w:sz w:val="24"/>
          <w:szCs w:val="24"/>
        </w:rPr>
        <w:t xml:space="preserve"> often map</w:t>
      </w:r>
      <w:r w:rsidR="005D7F50" w:rsidRPr="007637C9">
        <w:rPr>
          <w:rFonts w:ascii="Times New Roman" w:hAnsi="Times New Roman" w:cs="Times New Roman"/>
          <w:sz w:val="24"/>
          <w:szCs w:val="24"/>
        </w:rPr>
        <w:t>ping</w:t>
      </w:r>
      <w:r w:rsidR="00BB070F" w:rsidRPr="007637C9">
        <w:rPr>
          <w:rFonts w:ascii="Times New Roman" w:hAnsi="Times New Roman" w:cs="Times New Roman"/>
          <w:sz w:val="24"/>
          <w:szCs w:val="24"/>
        </w:rPr>
        <w:t xml:space="preserve"> </w:t>
      </w:r>
      <w:r w:rsidR="001707A7" w:rsidRPr="007637C9">
        <w:rPr>
          <w:rFonts w:ascii="Times New Roman" w:hAnsi="Times New Roman" w:cs="Times New Roman"/>
          <w:sz w:val="24"/>
          <w:szCs w:val="24"/>
        </w:rPr>
        <w:t>to</w:t>
      </w:r>
      <w:r w:rsidR="00BB070F" w:rsidRPr="007637C9">
        <w:rPr>
          <w:rFonts w:ascii="Times New Roman" w:hAnsi="Times New Roman" w:cs="Times New Roman"/>
          <w:sz w:val="24"/>
          <w:szCs w:val="24"/>
        </w:rPr>
        <w:t xml:space="preserve"> national accreditation standards</w:t>
      </w:r>
      <w:r w:rsidR="001707A7" w:rsidRPr="007637C9">
        <w:rPr>
          <w:rFonts w:ascii="Times New Roman" w:hAnsi="Times New Roman" w:cs="Times New Roman"/>
          <w:sz w:val="24"/>
          <w:szCs w:val="24"/>
        </w:rPr>
        <w:t xml:space="preserve"> </w:t>
      </w:r>
      <w:r w:rsidR="00433889" w:rsidRPr="007637C9">
        <w:rPr>
          <w:rFonts w:ascii="Times New Roman" w:hAnsi="Times New Roman" w:cs="Times New Roman"/>
          <w:sz w:val="24"/>
          <w:szCs w:val="24"/>
        </w:rPr>
        <w:t>for example the Outcomes for Graduates</w:t>
      </w:r>
      <w:r w:rsidR="001707A7" w:rsidRPr="007637C9">
        <w:rPr>
          <w:rFonts w:ascii="Times New Roman" w:hAnsi="Times New Roman" w:cs="Times New Roman"/>
          <w:sz w:val="24"/>
          <w:szCs w:val="24"/>
        </w:rPr>
        <w:t xml:space="preserve"> framework in the UK</w:t>
      </w:r>
      <w:r w:rsidR="00B66E1D" w:rsidRPr="007637C9">
        <w:rPr>
          <w:rFonts w:ascii="Times New Roman" w:hAnsi="Times New Roman" w:cs="Times New Roman"/>
          <w:sz w:val="24"/>
          <w:szCs w:val="24"/>
        </w:rPr>
        <w:t>.</w:t>
      </w:r>
      <w:r w:rsidR="00573AE9" w:rsidRPr="007637C9">
        <w:rPr>
          <w:rFonts w:ascii="Times New Roman" w:hAnsi="Times New Roman" w:cs="Times New Roman"/>
          <w:sz w:val="24"/>
          <w:szCs w:val="24"/>
        </w:rPr>
        <w:t xml:space="preserve"> </w:t>
      </w:r>
      <w:r w:rsidR="00084B5E" w:rsidRPr="007637C9">
        <w:rPr>
          <w:rFonts w:ascii="Times New Roman" w:hAnsi="Times New Roman" w:cs="Times New Roman"/>
          <w:sz w:val="24"/>
          <w:szCs w:val="24"/>
        </w:rPr>
        <w:t>Traditionally these</w:t>
      </w:r>
      <w:r w:rsidR="00AC744A" w:rsidRPr="007637C9">
        <w:rPr>
          <w:rFonts w:ascii="Times New Roman" w:hAnsi="Times New Roman" w:cs="Times New Roman"/>
          <w:sz w:val="24"/>
          <w:szCs w:val="24"/>
        </w:rPr>
        <w:t xml:space="preserve"> competency frameworks have been applied to postgraduate traini</w:t>
      </w:r>
      <w:r w:rsidR="00657556" w:rsidRPr="007637C9">
        <w:rPr>
          <w:rFonts w:ascii="Times New Roman" w:hAnsi="Times New Roman" w:cs="Times New Roman"/>
          <w:sz w:val="24"/>
          <w:szCs w:val="24"/>
        </w:rPr>
        <w:t>ng but mor</w:t>
      </w:r>
      <w:r w:rsidR="00A94967" w:rsidRPr="007637C9">
        <w:rPr>
          <w:rFonts w:ascii="Times New Roman" w:hAnsi="Times New Roman" w:cs="Times New Roman"/>
          <w:sz w:val="24"/>
          <w:szCs w:val="24"/>
        </w:rPr>
        <w:t>e</w:t>
      </w:r>
      <w:r w:rsidR="00657556" w:rsidRPr="007637C9">
        <w:rPr>
          <w:rFonts w:ascii="Times New Roman" w:hAnsi="Times New Roman" w:cs="Times New Roman"/>
          <w:sz w:val="24"/>
          <w:szCs w:val="24"/>
        </w:rPr>
        <w:t xml:space="preserve"> recently has been applied to undergraduate medical education (Harris et al. 2010</w:t>
      </w:r>
      <w:r w:rsidR="005D70B1" w:rsidRPr="007637C9">
        <w:rPr>
          <w:rFonts w:ascii="Times New Roman" w:hAnsi="Times New Roman" w:cs="Times New Roman"/>
          <w:sz w:val="24"/>
          <w:szCs w:val="24"/>
        </w:rPr>
        <w:t>)</w:t>
      </w:r>
      <w:r w:rsidR="00DF2114" w:rsidRPr="007637C9">
        <w:rPr>
          <w:rFonts w:ascii="Times New Roman" w:hAnsi="Times New Roman" w:cs="Times New Roman"/>
          <w:sz w:val="24"/>
          <w:szCs w:val="24"/>
        </w:rPr>
        <w:t xml:space="preserve">. </w:t>
      </w:r>
      <w:r w:rsidR="00AC4FE1" w:rsidRPr="007637C9">
        <w:rPr>
          <w:rFonts w:ascii="Times New Roman" w:hAnsi="Times New Roman" w:cs="Times New Roman"/>
          <w:sz w:val="24"/>
          <w:szCs w:val="24"/>
        </w:rPr>
        <w:t xml:space="preserve"> </w:t>
      </w:r>
      <w:r w:rsidR="002926FF" w:rsidRPr="007637C9">
        <w:rPr>
          <w:rFonts w:ascii="Times New Roman" w:hAnsi="Times New Roman" w:cs="Times New Roman"/>
          <w:sz w:val="24"/>
          <w:szCs w:val="24"/>
        </w:rPr>
        <w:t>In th</w:t>
      </w:r>
      <w:r w:rsidR="00C11B30" w:rsidRPr="007637C9">
        <w:rPr>
          <w:rFonts w:ascii="Times New Roman" w:hAnsi="Times New Roman" w:cs="Times New Roman"/>
          <w:sz w:val="24"/>
          <w:szCs w:val="24"/>
        </w:rPr>
        <w:t>e CMBE</w:t>
      </w:r>
      <w:r w:rsidR="002926FF" w:rsidRPr="007637C9">
        <w:rPr>
          <w:rFonts w:ascii="Times New Roman" w:hAnsi="Times New Roman" w:cs="Times New Roman"/>
          <w:sz w:val="24"/>
          <w:szCs w:val="24"/>
        </w:rPr>
        <w:t xml:space="preserve"> process</w:t>
      </w:r>
      <w:r w:rsidR="00772329" w:rsidRPr="007637C9">
        <w:rPr>
          <w:rFonts w:ascii="Times New Roman" w:hAnsi="Times New Roman" w:cs="Times New Roman"/>
          <w:sz w:val="24"/>
          <w:szCs w:val="24"/>
        </w:rPr>
        <w:t>,</w:t>
      </w:r>
      <w:r w:rsidRPr="007637C9">
        <w:rPr>
          <w:rFonts w:ascii="Times New Roman" w:hAnsi="Times New Roman" w:cs="Times New Roman"/>
          <w:sz w:val="24"/>
          <w:szCs w:val="24"/>
        </w:rPr>
        <w:t xml:space="preserve"> learning objectives set criteria to which programmes and modules are structured, with students’ knowledge and understanding </w:t>
      </w:r>
      <w:r w:rsidRPr="007637C9">
        <w:rPr>
          <w:rFonts w:ascii="Times New Roman" w:hAnsi="Times New Roman" w:cs="Times New Roman"/>
          <w:sz w:val="24"/>
          <w:szCs w:val="24"/>
        </w:rPr>
        <w:lastRenderedPageBreak/>
        <w:t>defined against the generic objectives (Harden, 2002).  This approach has been criticised as it does not consider the outcome of the learning process (Talbot, 2004), or can be vague and confusing (</w:t>
      </w:r>
      <w:proofErr w:type="spellStart"/>
      <w:r w:rsidRPr="007637C9">
        <w:rPr>
          <w:rFonts w:ascii="Times New Roman" w:hAnsi="Times New Roman" w:cs="Times New Roman"/>
          <w:sz w:val="24"/>
          <w:szCs w:val="24"/>
        </w:rPr>
        <w:t>Guilbert</w:t>
      </w:r>
      <w:proofErr w:type="spellEnd"/>
      <w:r w:rsidRPr="007637C9">
        <w:rPr>
          <w:rFonts w:ascii="Times New Roman" w:hAnsi="Times New Roman" w:cs="Times New Roman"/>
          <w:sz w:val="24"/>
          <w:szCs w:val="24"/>
        </w:rPr>
        <w:t xml:space="preserve">, 2002). Where education programmes are required to deliver graduates </w:t>
      </w:r>
      <w:r w:rsidR="00A94967" w:rsidRPr="007637C9">
        <w:rPr>
          <w:rFonts w:ascii="Times New Roman" w:hAnsi="Times New Roman" w:cs="Times New Roman"/>
          <w:sz w:val="24"/>
          <w:szCs w:val="24"/>
        </w:rPr>
        <w:t xml:space="preserve">who </w:t>
      </w:r>
      <w:r w:rsidRPr="007637C9">
        <w:rPr>
          <w:rFonts w:ascii="Times New Roman" w:hAnsi="Times New Roman" w:cs="Times New Roman"/>
          <w:sz w:val="24"/>
          <w:szCs w:val="24"/>
        </w:rPr>
        <w:t xml:space="preserve">possess technical and professional skills that can be implemented </w:t>
      </w:r>
      <w:r w:rsidR="00A94967" w:rsidRPr="007637C9">
        <w:rPr>
          <w:rFonts w:ascii="Times New Roman" w:hAnsi="Times New Roman" w:cs="Times New Roman"/>
          <w:sz w:val="24"/>
          <w:szCs w:val="24"/>
        </w:rPr>
        <w:t xml:space="preserve">autonomously </w:t>
      </w:r>
      <w:r w:rsidRPr="007637C9">
        <w:rPr>
          <w:rFonts w:ascii="Times New Roman" w:hAnsi="Times New Roman" w:cs="Times New Roman"/>
          <w:sz w:val="24"/>
          <w:szCs w:val="24"/>
        </w:rPr>
        <w:t xml:space="preserve">in the workplace, it is beneficial to start with these required skills (outcomes) </w:t>
      </w:r>
      <w:r w:rsidR="008623C3" w:rsidRPr="007637C9">
        <w:rPr>
          <w:rFonts w:ascii="Times New Roman" w:hAnsi="Times New Roman" w:cs="Times New Roman"/>
          <w:sz w:val="24"/>
          <w:szCs w:val="24"/>
        </w:rPr>
        <w:t xml:space="preserve">of the practising professional </w:t>
      </w:r>
      <w:r w:rsidRPr="007637C9">
        <w:rPr>
          <w:rFonts w:ascii="Times New Roman" w:hAnsi="Times New Roman" w:cs="Times New Roman"/>
          <w:sz w:val="24"/>
          <w:szCs w:val="24"/>
        </w:rPr>
        <w:t>and work backwards to identify appropriate teaching channels to deliver the skills (ten Cate &amp; Scheele, 2007). With clear outcomes and processes, the learning outcomes can then be defined that align with programme/module outcomes</w:t>
      </w:r>
      <w:r w:rsidR="003A1F18" w:rsidRPr="007637C9">
        <w:rPr>
          <w:rFonts w:ascii="Times New Roman" w:hAnsi="Times New Roman" w:cs="Times New Roman"/>
          <w:sz w:val="24"/>
          <w:szCs w:val="24"/>
        </w:rPr>
        <w:t xml:space="preserve"> and national standards, if required</w:t>
      </w:r>
      <w:r w:rsidRPr="007637C9">
        <w:rPr>
          <w:rFonts w:ascii="Times New Roman" w:hAnsi="Times New Roman" w:cs="Times New Roman"/>
          <w:sz w:val="24"/>
          <w:szCs w:val="24"/>
        </w:rPr>
        <w:t>.</w:t>
      </w:r>
    </w:p>
    <w:p w14:paraId="054F8520" w14:textId="51DF4B9F" w:rsidR="00CD503F" w:rsidRPr="007637C9" w:rsidRDefault="00196F4B"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In disciplines </w:t>
      </w:r>
      <w:r w:rsidR="0002312E" w:rsidRPr="007637C9">
        <w:rPr>
          <w:rFonts w:ascii="Times New Roman" w:hAnsi="Times New Roman" w:cs="Times New Roman"/>
          <w:sz w:val="24"/>
          <w:szCs w:val="24"/>
        </w:rPr>
        <w:t xml:space="preserve">such as Sport </w:t>
      </w:r>
      <w:r w:rsidR="00A94967" w:rsidRPr="007637C9">
        <w:rPr>
          <w:rFonts w:ascii="Times New Roman" w:hAnsi="Times New Roman" w:cs="Times New Roman"/>
          <w:sz w:val="24"/>
          <w:szCs w:val="24"/>
        </w:rPr>
        <w:t>and</w:t>
      </w:r>
      <w:r w:rsidR="0002312E" w:rsidRPr="007637C9">
        <w:rPr>
          <w:rFonts w:ascii="Times New Roman" w:hAnsi="Times New Roman" w:cs="Times New Roman"/>
          <w:sz w:val="24"/>
          <w:szCs w:val="24"/>
        </w:rPr>
        <w:t xml:space="preserve"> Exercise Sciences</w:t>
      </w:r>
      <w:r w:rsidR="00CC7A97">
        <w:rPr>
          <w:rFonts w:ascii="Times New Roman" w:hAnsi="Times New Roman" w:cs="Times New Roman"/>
          <w:sz w:val="24"/>
          <w:szCs w:val="24"/>
        </w:rPr>
        <w:t>,</w:t>
      </w:r>
      <w:r w:rsidR="0002312E" w:rsidRPr="007637C9">
        <w:rPr>
          <w:rFonts w:ascii="Times New Roman" w:hAnsi="Times New Roman" w:cs="Times New Roman"/>
          <w:sz w:val="24"/>
          <w:szCs w:val="24"/>
        </w:rPr>
        <w:t xml:space="preserve"> </w:t>
      </w:r>
      <w:r w:rsidRPr="007637C9">
        <w:rPr>
          <w:rFonts w:ascii="Times New Roman" w:hAnsi="Times New Roman" w:cs="Times New Roman"/>
          <w:sz w:val="24"/>
          <w:szCs w:val="24"/>
        </w:rPr>
        <w:t xml:space="preserve">where the ability to perform tasks safely and effectively is of paramount importance, </w:t>
      </w:r>
      <w:r w:rsidR="0002312E" w:rsidRPr="007637C9">
        <w:rPr>
          <w:rFonts w:ascii="Times New Roman" w:hAnsi="Times New Roman" w:cs="Times New Roman"/>
          <w:sz w:val="24"/>
          <w:szCs w:val="24"/>
        </w:rPr>
        <w:t xml:space="preserve">development of </w:t>
      </w:r>
      <w:r w:rsidRPr="007637C9">
        <w:rPr>
          <w:rFonts w:ascii="Times New Roman" w:hAnsi="Times New Roman" w:cs="Times New Roman"/>
          <w:sz w:val="24"/>
          <w:szCs w:val="24"/>
        </w:rPr>
        <w:t>an outcome-based educational approach seems most prudent</w:t>
      </w:r>
      <w:r w:rsidR="00522C3C"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CD503F" w:rsidRPr="007637C9">
        <w:rPr>
          <w:rFonts w:ascii="Times New Roman" w:hAnsi="Times New Roman" w:cs="Times New Roman"/>
          <w:sz w:val="24"/>
          <w:szCs w:val="24"/>
        </w:rPr>
        <w:t xml:space="preserve">Competency-based education is important as </w:t>
      </w:r>
      <w:r w:rsidR="00DC056A" w:rsidRPr="007637C9">
        <w:rPr>
          <w:rFonts w:ascii="Times New Roman" w:hAnsi="Times New Roman" w:cs="Times New Roman"/>
          <w:sz w:val="24"/>
          <w:szCs w:val="24"/>
        </w:rPr>
        <w:t xml:space="preserve">it </w:t>
      </w:r>
      <w:r w:rsidR="00CD503F" w:rsidRPr="007637C9">
        <w:rPr>
          <w:rFonts w:ascii="Times New Roman" w:hAnsi="Times New Roman" w:cs="Times New Roman"/>
          <w:sz w:val="24"/>
          <w:szCs w:val="24"/>
        </w:rPr>
        <w:t>shifts the process from dispensing knowledge and developing understanding to acquiring skills and applying the knowledge (</w:t>
      </w:r>
      <w:proofErr w:type="spellStart"/>
      <w:r w:rsidR="00CD503F" w:rsidRPr="007637C9">
        <w:rPr>
          <w:rFonts w:ascii="Times New Roman" w:hAnsi="Times New Roman" w:cs="Times New Roman"/>
          <w:sz w:val="24"/>
          <w:szCs w:val="24"/>
        </w:rPr>
        <w:t>Carraccio</w:t>
      </w:r>
      <w:proofErr w:type="spellEnd"/>
      <w:r w:rsidR="00CD503F" w:rsidRPr="007637C9">
        <w:rPr>
          <w:rFonts w:ascii="Times New Roman" w:hAnsi="Times New Roman" w:cs="Times New Roman"/>
          <w:sz w:val="24"/>
          <w:szCs w:val="24"/>
        </w:rPr>
        <w:t xml:space="preserve"> et al., 2002; </w:t>
      </w:r>
      <w:proofErr w:type="spellStart"/>
      <w:r w:rsidR="00CD503F" w:rsidRPr="007637C9">
        <w:rPr>
          <w:rFonts w:ascii="Times New Roman" w:hAnsi="Times New Roman" w:cs="Times New Roman"/>
          <w:sz w:val="24"/>
          <w:szCs w:val="24"/>
        </w:rPr>
        <w:t>Iobst</w:t>
      </w:r>
      <w:proofErr w:type="spellEnd"/>
      <w:r w:rsidR="00CD503F" w:rsidRPr="007637C9">
        <w:rPr>
          <w:rFonts w:ascii="Times New Roman" w:hAnsi="Times New Roman" w:cs="Times New Roman"/>
          <w:sz w:val="24"/>
          <w:szCs w:val="24"/>
        </w:rPr>
        <w:t xml:space="preserve"> et al., 2010). This approach enables learners to perform tasks with </w:t>
      </w:r>
      <w:r w:rsidR="00A94967" w:rsidRPr="007637C9">
        <w:rPr>
          <w:rFonts w:ascii="Times New Roman" w:hAnsi="Times New Roman" w:cs="Times New Roman"/>
          <w:sz w:val="24"/>
          <w:szCs w:val="24"/>
        </w:rPr>
        <w:t xml:space="preserve">increasing </w:t>
      </w:r>
      <w:r w:rsidR="00CD503F" w:rsidRPr="007637C9">
        <w:rPr>
          <w:rFonts w:ascii="Times New Roman" w:hAnsi="Times New Roman" w:cs="Times New Roman"/>
          <w:sz w:val="24"/>
          <w:szCs w:val="24"/>
        </w:rPr>
        <w:t>confidence as they progress through an undergraduate programme of study and into the workforce – developing their competency</w:t>
      </w:r>
      <w:r w:rsidR="00906741">
        <w:rPr>
          <w:rFonts w:ascii="Times New Roman" w:hAnsi="Times New Roman" w:cs="Times New Roman"/>
          <w:sz w:val="24"/>
          <w:szCs w:val="24"/>
        </w:rPr>
        <w:t xml:space="preserve"> through</w:t>
      </w:r>
      <w:r w:rsidR="00FC1B33" w:rsidRPr="007637C9">
        <w:rPr>
          <w:rFonts w:ascii="Times New Roman" w:hAnsi="Times New Roman" w:cs="Times New Roman"/>
          <w:sz w:val="24"/>
          <w:szCs w:val="24"/>
        </w:rPr>
        <w:t xml:space="preserve"> reflection</w:t>
      </w:r>
      <w:r w:rsidR="0069600F" w:rsidRPr="007637C9">
        <w:rPr>
          <w:rFonts w:ascii="Times New Roman" w:hAnsi="Times New Roman" w:cs="Times New Roman"/>
          <w:sz w:val="24"/>
          <w:szCs w:val="24"/>
        </w:rPr>
        <w:t xml:space="preserve"> of their </w:t>
      </w:r>
      <w:r w:rsidR="00232DD7" w:rsidRPr="007637C9">
        <w:rPr>
          <w:rFonts w:ascii="Times New Roman" w:hAnsi="Times New Roman" w:cs="Times New Roman"/>
          <w:sz w:val="24"/>
          <w:szCs w:val="24"/>
        </w:rPr>
        <w:t>own learning</w:t>
      </w:r>
      <w:r w:rsidR="00CD503F" w:rsidRPr="007637C9">
        <w:rPr>
          <w:rFonts w:ascii="Times New Roman" w:hAnsi="Times New Roman" w:cs="Times New Roman"/>
          <w:sz w:val="24"/>
          <w:szCs w:val="24"/>
        </w:rPr>
        <w:t xml:space="preserve">. </w:t>
      </w:r>
      <w:r w:rsidR="00906741">
        <w:rPr>
          <w:rFonts w:ascii="Times New Roman" w:hAnsi="Times New Roman" w:cs="Times New Roman"/>
          <w:sz w:val="24"/>
          <w:szCs w:val="24"/>
        </w:rPr>
        <w:t xml:space="preserve">Whereby, self-reflection is an ongoing process in that students consider prior and current experiences, recognise how thoughts, behaviours, and emotions impact on development, and create changes in their learning frames of reference.  </w:t>
      </w:r>
      <w:r w:rsidR="00CD503F" w:rsidRPr="007637C9">
        <w:rPr>
          <w:rFonts w:ascii="Times New Roman" w:hAnsi="Times New Roman" w:cs="Times New Roman"/>
          <w:sz w:val="24"/>
          <w:szCs w:val="24"/>
        </w:rPr>
        <w:t xml:space="preserve"> </w:t>
      </w:r>
      <w:r w:rsidR="007A23A9" w:rsidRPr="007637C9">
        <w:rPr>
          <w:rFonts w:ascii="Times New Roman" w:hAnsi="Times New Roman" w:cs="Times New Roman"/>
          <w:sz w:val="24"/>
          <w:szCs w:val="24"/>
        </w:rPr>
        <w:t>CMBE</w:t>
      </w:r>
      <w:r w:rsidR="00CD503F" w:rsidRPr="007637C9">
        <w:rPr>
          <w:rFonts w:ascii="Times New Roman" w:hAnsi="Times New Roman" w:cs="Times New Roman"/>
          <w:sz w:val="24"/>
          <w:szCs w:val="24"/>
        </w:rPr>
        <w:t xml:space="preserve"> is now generally accepted (</w:t>
      </w:r>
      <w:proofErr w:type="spellStart"/>
      <w:r w:rsidR="00CD503F" w:rsidRPr="007637C9">
        <w:rPr>
          <w:rFonts w:ascii="Times New Roman" w:hAnsi="Times New Roman" w:cs="Times New Roman"/>
          <w:sz w:val="24"/>
          <w:szCs w:val="24"/>
        </w:rPr>
        <w:t>Iobst</w:t>
      </w:r>
      <w:proofErr w:type="spellEnd"/>
      <w:r w:rsidR="00CD503F" w:rsidRPr="007637C9">
        <w:rPr>
          <w:rFonts w:ascii="Times New Roman" w:hAnsi="Times New Roman" w:cs="Times New Roman"/>
          <w:sz w:val="24"/>
          <w:szCs w:val="24"/>
        </w:rPr>
        <w:t xml:space="preserve"> et al., 2010) within the medical education setting but it is unclear how well it suits </w:t>
      </w:r>
      <w:r w:rsidR="00CC7A97">
        <w:rPr>
          <w:rFonts w:ascii="Times New Roman" w:hAnsi="Times New Roman" w:cs="Times New Roman"/>
          <w:sz w:val="24"/>
          <w:szCs w:val="24"/>
        </w:rPr>
        <w:t>s</w:t>
      </w:r>
      <w:r w:rsidR="00CD503F" w:rsidRPr="007637C9">
        <w:rPr>
          <w:rFonts w:ascii="Times New Roman" w:hAnsi="Times New Roman" w:cs="Times New Roman"/>
          <w:sz w:val="24"/>
          <w:szCs w:val="24"/>
        </w:rPr>
        <w:t>ports education.</w:t>
      </w:r>
    </w:p>
    <w:p w14:paraId="2BCCB150" w14:textId="455FC67B" w:rsidR="00CD503F" w:rsidRPr="007637C9" w:rsidRDefault="00CD503F"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The promotion of learner-centredness is concerned with developing student independence, creating a learning environment, ownership of their learning experience</w:t>
      </w:r>
      <w:r w:rsidR="00436546"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w:t>
      </w:r>
      <w:r w:rsidR="00566886" w:rsidRPr="007637C9">
        <w:rPr>
          <w:rFonts w:ascii="Times New Roman" w:hAnsi="Times New Roman" w:cs="Times New Roman"/>
          <w:sz w:val="24"/>
          <w:szCs w:val="24"/>
        </w:rPr>
        <w:t xml:space="preserve">supporting </w:t>
      </w:r>
      <w:r w:rsidRPr="007637C9">
        <w:rPr>
          <w:rFonts w:ascii="Times New Roman" w:hAnsi="Times New Roman" w:cs="Times New Roman"/>
          <w:sz w:val="24"/>
          <w:szCs w:val="24"/>
        </w:rPr>
        <w:t xml:space="preserve">life-long learning (Gruppen et al., 2016). Within </w:t>
      </w:r>
      <w:r w:rsidR="00566886" w:rsidRPr="007637C9">
        <w:rPr>
          <w:rFonts w:ascii="Times New Roman" w:hAnsi="Times New Roman" w:cs="Times New Roman"/>
          <w:sz w:val="24"/>
          <w:szCs w:val="24"/>
        </w:rPr>
        <w:t>CMBE</w:t>
      </w:r>
      <w:r w:rsidRPr="007637C9">
        <w:rPr>
          <w:rFonts w:ascii="Times New Roman" w:hAnsi="Times New Roman" w:cs="Times New Roman"/>
          <w:sz w:val="24"/>
          <w:szCs w:val="24"/>
        </w:rPr>
        <w:t xml:space="preserve">, training should be clear with </w:t>
      </w:r>
      <w:r w:rsidR="007F3D96" w:rsidRPr="007637C9">
        <w:rPr>
          <w:rFonts w:ascii="Times New Roman" w:hAnsi="Times New Roman" w:cs="Times New Roman"/>
          <w:sz w:val="24"/>
          <w:szCs w:val="24"/>
        </w:rPr>
        <w:t xml:space="preserve">defined </w:t>
      </w:r>
      <w:r w:rsidRPr="007637C9">
        <w:rPr>
          <w:rFonts w:ascii="Times New Roman" w:hAnsi="Times New Roman" w:cs="Times New Roman"/>
          <w:sz w:val="24"/>
          <w:szCs w:val="24"/>
        </w:rPr>
        <w:t xml:space="preserve">learning milestones to </w:t>
      </w:r>
      <w:r w:rsidR="007F3D96" w:rsidRPr="007637C9">
        <w:rPr>
          <w:rFonts w:ascii="Times New Roman" w:hAnsi="Times New Roman" w:cs="Times New Roman"/>
          <w:sz w:val="24"/>
          <w:szCs w:val="24"/>
        </w:rPr>
        <w:t>enable</w:t>
      </w:r>
      <w:r w:rsidRPr="007637C9">
        <w:rPr>
          <w:rFonts w:ascii="Times New Roman" w:hAnsi="Times New Roman" w:cs="Times New Roman"/>
          <w:sz w:val="24"/>
          <w:szCs w:val="24"/>
        </w:rPr>
        <w:t xml:space="preserve"> students to identify </w:t>
      </w:r>
      <w:r w:rsidR="007F3D96" w:rsidRPr="007637C9">
        <w:rPr>
          <w:rFonts w:ascii="Times New Roman" w:hAnsi="Times New Roman" w:cs="Times New Roman"/>
          <w:sz w:val="24"/>
          <w:szCs w:val="24"/>
        </w:rPr>
        <w:t xml:space="preserve">and track </w:t>
      </w:r>
      <w:r w:rsidRPr="007637C9">
        <w:rPr>
          <w:rFonts w:ascii="Times New Roman" w:hAnsi="Times New Roman" w:cs="Times New Roman"/>
          <w:sz w:val="24"/>
          <w:szCs w:val="24"/>
        </w:rPr>
        <w:t xml:space="preserve">their progression through </w:t>
      </w:r>
      <w:r w:rsidR="007F3D96" w:rsidRPr="007637C9">
        <w:rPr>
          <w:rFonts w:ascii="Times New Roman" w:hAnsi="Times New Roman" w:cs="Times New Roman"/>
          <w:sz w:val="24"/>
          <w:szCs w:val="24"/>
        </w:rPr>
        <w:t xml:space="preserve">their </w:t>
      </w:r>
      <w:r w:rsidRPr="007637C9">
        <w:rPr>
          <w:rFonts w:ascii="Times New Roman" w:hAnsi="Times New Roman" w:cs="Times New Roman"/>
          <w:sz w:val="24"/>
          <w:szCs w:val="24"/>
        </w:rPr>
        <w:lastRenderedPageBreak/>
        <w:t>medical training programme (</w:t>
      </w:r>
      <w:proofErr w:type="spellStart"/>
      <w:r w:rsidRPr="007637C9">
        <w:rPr>
          <w:rFonts w:ascii="Times New Roman" w:hAnsi="Times New Roman" w:cs="Times New Roman"/>
          <w:sz w:val="24"/>
          <w:szCs w:val="24"/>
        </w:rPr>
        <w:t>Caverzagie</w:t>
      </w:r>
      <w:proofErr w:type="spellEnd"/>
      <w:r w:rsidRPr="007637C9">
        <w:rPr>
          <w:rFonts w:ascii="Times New Roman" w:hAnsi="Times New Roman" w:cs="Times New Roman"/>
          <w:sz w:val="24"/>
          <w:szCs w:val="24"/>
        </w:rPr>
        <w:t xml:space="preserve"> et al., 2013).  Whilst most traditional education curricu</w:t>
      </w:r>
      <w:r w:rsidR="007F3D96" w:rsidRPr="007637C9">
        <w:rPr>
          <w:rFonts w:ascii="Times New Roman" w:hAnsi="Times New Roman" w:cs="Times New Roman"/>
          <w:sz w:val="24"/>
          <w:szCs w:val="24"/>
        </w:rPr>
        <w:t>la</w:t>
      </w:r>
      <w:r w:rsidRPr="007637C9">
        <w:rPr>
          <w:rFonts w:ascii="Times New Roman" w:hAnsi="Times New Roman" w:cs="Times New Roman"/>
          <w:sz w:val="24"/>
          <w:szCs w:val="24"/>
        </w:rPr>
        <w:t xml:space="preserve"> require students to complete a set of defined tasks and assessments per year of study, competency-based medical education provides flexibility to allow students develop the required level of competency </w:t>
      </w:r>
      <w:r w:rsidR="004A2A32" w:rsidRPr="007637C9">
        <w:rPr>
          <w:rFonts w:ascii="Times New Roman" w:hAnsi="Times New Roman" w:cs="Times New Roman"/>
          <w:sz w:val="24"/>
          <w:szCs w:val="24"/>
        </w:rPr>
        <w:t xml:space="preserve">at variable stages </w:t>
      </w:r>
      <w:r w:rsidRPr="007637C9">
        <w:rPr>
          <w:rFonts w:ascii="Times New Roman" w:hAnsi="Times New Roman" w:cs="Times New Roman"/>
          <w:sz w:val="24"/>
          <w:szCs w:val="24"/>
        </w:rPr>
        <w:t>(</w:t>
      </w:r>
      <w:proofErr w:type="spellStart"/>
      <w:r w:rsidRPr="007637C9">
        <w:rPr>
          <w:rFonts w:ascii="Times New Roman" w:hAnsi="Times New Roman" w:cs="Times New Roman"/>
          <w:sz w:val="24"/>
          <w:szCs w:val="24"/>
        </w:rPr>
        <w:t>Iobst</w:t>
      </w:r>
      <w:proofErr w:type="spellEnd"/>
      <w:r w:rsidRPr="007637C9">
        <w:rPr>
          <w:rFonts w:ascii="Times New Roman" w:hAnsi="Times New Roman" w:cs="Times New Roman"/>
          <w:sz w:val="24"/>
          <w:szCs w:val="24"/>
        </w:rPr>
        <w:t xml:space="preserve"> et al., 2010; Loftus, 201</w:t>
      </w:r>
      <w:r w:rsidR="004A2A32" w:rsidRPr="007637C9">
        <w:rPr>
          <w:rFonts w:ascii="Times New Roman" w:hAnsi="Times New Roman" w:cs="Times New Roman"/>
          <w:sz w:val="24"/>
          <w:szCs w:val="24"/>
        </w:rPr>
        <w:t>6</w:t>
      </w:r>
      <w:r w:rsidR="00926D7B" w:rsidRPr="007637C9">
        <w:rPr>
          <w:rFonts w:ascii="Times New Roman" w:hAnsi="Times New Roman" w:cs="Times New Roman"/>
          <w:sz w:val="24"/>
          <w:szCs w:val="24"/>
        </w:rPr>
        <w:t>)</w:t>
      </w:r>
      <w:r w:rsidR="002E1600" w:rsidRPr="007637C9">
        <w:rPr>
          <w:rFonts w:ascii="Times New Roman" w:hAnsi="Times New Roman" w:cs="Times New Roman"/>
          <w:sz w:val="24"/>
          <w:szCs w:val="24"/>
        </w:rPr>
        <w:t>.</w:t>
      </w:r>
      <w:r w:rsidR="00436546" w:rsidRPr="007637C9">
        <w:rPr>
          <w:rFonts w:ascii="Times New Roman" w:hAnsi="Times New Roman" w:cs="Times New Roman"/>
          <w:sz w:val="24"/>
          <w:szCs w:val="24"/>
        </w:rPr>
        <w:t xml:space="preserve"> </w:t>
      </w:r>
      <w:r w:rsidR="008D30B8" w:rsidRPr="007637C9">
        <w:rPr>
          <w:rFonts w:ascii="Times New Roman" w:hAnsi="Times New Roman" w:cs="Times New Roman"/>
          <w:sz w:val="24"/>
          <w:szCs w:val="24"/>
        </w:rPr>
        <w:t xml:space="preserve">This flexibility </w:t>
      </w:r>
      <w:r w:rsidRPr="007637C9">
        <w:rPr>
          <w:rFonts w:ascii="Times New Roman" w:hAnsi="Times New Roman" w:cs="Times New Roman"/>
          <w:sz w:val="24"/>
          <w:szCs w:val="24"/>
        </w:rPr>
        <w:t>is an important element of this approach as the learning curve of students varies. Structuring modules to facilitate such flexibility is a challenge in traditional curricul</w:t>
      </w:r>
      <w:r w:rsidR="00190F18" w:rsidRPr="007637C9">
        <w:rPr>
          <w:rFonts w:ascii="Times New Roman" w:hAnsi="Times New Roman" w:cs="Times New Roman"/>
          <w:sz w:val="24"/>
          <w:szCs w:val="24"/>
        </w:rPr>
        <w:t>a</w:t>
      </w:r>
      <w:r w:rsidRPr="007637C9">
        <w:rPr>
          <w:rFonts w:ascii="Times New Roman" w:hAnsi="Times New Roman" w:cs="Times New Roman"/>
          <w:sz w:val="24"/>
          <w:szCs w:val="24"/>
        </w:rPr>
        <w:t xml:space="preserve"> and the change is usually required at team or faculty level to align teaching methods (</w:t>
      </w:r>
      <w:proofErr w:type="spellStart"/>
      <w:r w:rsidRPr="007637C9">
        <w:rPr>
          <w:rFonts w:ascii="Times New Roman" w:hAnsi="Times New Roman" w:cs="Times New Roman"/>
          <w:sz w:val="24"/>
          <w:szCs w:val="24"/>
        </w:rPr>
        <w:t>Dath</w:t>
      </w:r>
      <w:proofErr w:type="spellEnd"/>
      <w:r w:rsidRPr="007637C9">
        <w:rPr>
          <w:rFonts w:ascii="Times New Roman" w:hAnsi="Times New Roman" w:cs="Times New Roman"/>
          <w:sz w:val="24"/>
          <w:szCs w:val="24"/>
        </w:rPr>
        <w:t xml:space="preserve"> &amp; </w:t>
      </w:r>
      <w:proofErr w:type="spellStart"/>
      <w:r w:rsidRPr="007637C9">
        <w:rPr>
          <w:rFonts w:ascii="Times New Roman" w:hAnsi="Times New Roman" w:cs="Times New Roman"/>
          <w:sz w:val="24"/>
          <w:szCs w:val="24"/>
        </w:rPr>
        <w:t>Iobst</w:t>
      </w:r>
      <w:proofErr w:type="spellEnd"/>
      <w:r w:rsidRPr="007637C9">
        <w:rPr>
          <w:rFonts w:ascii="Times New Roman" w:hAnsi="Times New Roman" w:cs="Times New Roman"/>
          <w:sz w:val="24"/>
          <w:szCs w:val="24"/>
        </w:rPr>
        <w:t xml:space="preserve">, 2010; </w:t>
      </w:r>
      <w:proofErr w:type="spellStart"/>
      <w:r w:rsidRPr="007637C9">
        <w:rPr>
          <w:rFonts w:ascii="Times New Roman" w:hAnsi="Times New Roman" w:cs="Times New Roman"/>
          <w:sz w:val="24"/>
          <w:szCs w:val="24"/>
        </w:rPr>
        <w:t>Iobst</w:t>
      </w:r>
      <w:proofErr w:type="spellEnd"/>
      <w:r w:rsidRPr="007637C9">
        <w:rPr>
          <w:rFonts w:ascii="Times New Roman" w:hAnsi="Times New Roman" w:cs="Times New Roman"/>
          <w:sz w:val="24"/>
          <w:szCs w:val="24"/>
        </w:rPr>
        <w:t xml:space="preserve"> et al., 2010)</w:t>
      </w:r>
      <w:r w:rsidR="00AA53F6" w:rsidRPr="007637C9">
        <w:rPr>
          <w:rFonts w:ascii="Times New Roman" w:hAnsi="Times New Roman" w:cs="Times New Roman"/>
          <w:sz w:val="24"/>
          <w:szCs w:val="24"/>
        </w:rPr>
        <w:t xml:space="preserve"> or adapt to evolving national</w:t>
      </w:r>
      <w:r w:rsidR="00136C58" w:rsidRPr="007637C9">
        <w:rPr>
          <w:rFonts w:ascii="Times New Roman" w:hAnsi="Times New Roman" w:cs="Times New Roman"/>
          <w:sz w:val="24"/>
          <w:szCs w:val="24"/>
        </w:rPr>
        <w:t xml:space="preserve"> </w:t>
      </w:r>
      <w:r w:rsidR="00AA53F6" w:rsidRPr="007637C9">
        <w:rPr>
          <w:rFonts w:ascii="Times New Roman" w:hAnsi="Times New Roman" w:cs="Times New Roman"/>
          <w:sz w:val="24"/>
          <w:szCs w:val="24"/>
        </w:rPr>
        <w:t>frameworks</w:t>
      </w:r>
      <w:r w:rsidRPr="007637C9">
        <w:rPr>
          <w:rFonts w:ascii="Times New Roman" w:hAnsi="Times New Roman" w:cs="Times New Roman"/>
          <w:sz w:val="24"/>
          <w:szCs w:val="24"/>
        </w:rPr>
        <w:t>. However, as learner independence is a desired graduate attribute</w:t>
      </w:r>
      <w:r w:rsidR="00926D7B" w:rsidRPr="007637C9">
        <w:rPr>
          <w:rFonts w:ascii="Times New Roman" w:hAnsi="Times New Roman" w:cs="Times New Roman"/>
          <w:sz w:val="24"/>
          <w:szCs w:val="24"/>
        </w:rPr>
        <w:t xml:space="preserve">, </w:t>
      </w:r>
      <w:r w:rsidRPr="007637C9">
        <w:rPr>
          <w:rFonts w:ascii="Times New Roman" w:hAnsi="Times New Roman" w:cs="Times New Roman"/>
          <w:sz w:val="24"/>
          <w:szCs w:val="24"/>
        </w:rPr>
        <w:t xml:space="preserve">implementing an educational philosophy that promotes its development should help reduce </w:t>
      </w:r>
      <w:r w:rsidR="00E50BB2" w:rsidRPr="007637C9">
        <w:rPr>
          <w:rFonts w:ascii="Times New Roman" w:hAnsi="Times New Roman" w:cs="Times New Roman"/>
          <w:sz w:val="24"/>
          <w:szCs w:val="24"/>
        </w:rPr>
        <w:t xml:space="preserve">staff </w:t>
      </w:r>
      <w:r w:rsidRPr="007637C9">
        <w:rPr>
          <w:rFonts w:ascii="Times New Roman" w:hAnsi="Times New Roman" w:cs="Times New Roman"/>
          <w:sz w:val="24"/>
          <w:szCs w:val="24"/>
        </w:rPr>
        <w:t>resistance. If practical applications of competency-based education are possible it will assist</w:t>
      </w:r>
      <w:r w:rsidR="007C46C0" w:rsidRPr="007637C9">
        <w:rPr>
          <w:rFonts w:ascii="Times New Roman" w:hAnsi="Times New Roman" w:cs="Times New Roman"/>
          <w:sz w:val="24"/>
          <w:szCs w:val="24"/>
        </w:rPr>
        <w:t xml:space="preserve"> staff</w:t>
      </w:r>
      <w:r w:rsidRPr="007637C9">
        <w:rPr>
          <w:rFonts w:ascii="Times New Roman" w:hAnsi="Times New Roman" w:cs="Times New Roman"/>
          <w:sz w:val="24"/>
          <w:szCs w:val="24"/>
        </w:rPr>
        <w:t xml:space="preserve"> transition</w:t>
      </w:r>
      <w:r w:rsidR="007C46C0" w:rsidRPr="007637C9">
        <w:rPr>
          <w:rFonts w:ascii="Times New Roman" w:hAnsi="Times New Roman" w:cs="Times New Roman"/>
          <w:sz w:val="24"/>
          <w:szCs w:val="24"/>
        </w:rPr>
        <w:t xml:space="preserve"> to a competency-based curricula</w:t>
      </w:r>
      <w:r w:rsidRPr="007637C9">
        <w:rPr>
          <w:rFonts w:ascii="Times New Roman" w:hAnsi="Times New Roman" w:cs="Times New Roman"/>
          <w:sz w:val="24"/>
          <w:szCs w:val="24"/>
        </w:rPr>
        <w:t>.</w:t>
      </w:r>
    </w:p>
    <w:p w14:paraId="66BB0BD9" w14:textId="770074C1" w:rsidR="00CD503F" w:rsidRPr="00CF4068" w:rsidRDefault="00CF4068" w:rsidP="00CF4068">
      <w:pPr>
        <w:pStyle w:val="ListParagraph"/>
        <w:keepNext/>
        <w:numPr>
          <w:ilvl w:val="1"/>
          <w:numId w:val="2"/>
        </w:numPr>
        <w:tabs>
          <w:tab w:val="left" w:pos="6840"/>
        </w:tabs>
        <w:spacing w:after="120" w:line="480" w:lineRule="auto"/>
        <w:rPr>
          <w:b/>
          <w:bCs/>
        </w:rPr>
      </w:pPr>
      <w:r>
        <w:rPr>
          <w:b/>
          <w:bCs/>
          <w:i/>
          <w:iCs/>
        </w:rPr>
        <w:t xml:space="preserve"> </w:t>
      </w:r>
      <w:r w:rsidR="00CD503F" w:rsidRPr="00CF4068">
        <w:rPr>
          <w:b/>
          <w:bCs/>
          <w:i/>
          <w:iCs/>
        </w:rPr>
        <w:t>Entrusted Professional Activities</w:t>
      </w:r>
    </w:p>
    <w:p w14:paraId="30C2701B" w14:textId="79D14408" w:rsidR="00CD503F" w:rsidRPr="007637C9" w:rsidRDefault="00CD503F"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The area of entrustable professional activities has been developed and implemented across the healthcare sector. Ten Cate (2018) states that an EPA is unit of professional practice entrusted to a trainee once sufficient competence has been reached, and builds on competency-based training (Dewey, Jonker, ten Cate, &amp; Turner, 2017; Loftus, 2016), where competencies are defined as observable and measurable actions (ten Cate, 2005).  What separate EPAs beyond competencies is they relate to operational tasks that are required of the trainee</w:t>
      </w:r>
      <w:r w:rsidR="00797333" w:rsidRPr="007637C9">
        <w:rPr>
          <w:rFonts w:ascii="Times New Roman" w:hAnsi="Times New Roman" w:cs="Times New Roman"/>
          <w:sz w:val="24"/>
          <w:szCs w:val="24"/>
        </w:rPr>
        <w:t xml:space="preserve"> in an authentic workplace setting</w:t>
      </w:r>
      <w:r w:rsidRPr="007637C9">
        <w:rPr>
          <w:rFonts w:ascii="Times New Roman" w:hAnsi="Times New Roman" w:cs="Times New Roman"/>
          <w:sz w:val="24"/>
          <w:szCs w:val="24"/>
        </w:rPr>
        <w:t xml:space="preserve"> where the recipient of the activity must trust the outcome.  EPA</w:t>
      </w:r>
      <w:r w:rsidR="002B1E91" w:rsidRPr="007637C9">
        <w:rPr>
          <w:rFonts w:ascii="Times New Roman" w:hAnsi="Times New Roman" w:cs="Times New Roman"/>
          <w:sz w:val="24"/>
          <w:szCs w:val="24"/>
        </w:rPr>
        <w:t>s</w:t>
      </w:r>
      <w:r w:rsidRPr="007637C9">
        <w:rPr>
          <w:rFonts w:ascii="Times New Roman" w:hAnsi="Times New Roman" w:cs="Times New Roman"/>
          <w:sz w:val="24"/>
          <w:szCs w:val="24"/>
        </w:rPr>
        <w:t xml:space="preserve"> link the personal competencies to work-based actions (Meyer et al., 2019; Van Loon, Driessen, </w:t>
      </w:r>
      <w:proofErr w:type="spellStart"/>
      <w:r w:rsidRPr="007637C9">
        <w:rPr>
          <w:rFonts w:ascii="Times New Roman" w:hAnsi="Times New Roman" w:cs="Times New Roman"/>
          <w:sz w:val="24"/>
          <w:szCs w:val="24"/>
        </w:rPr>
        <w:t>Teunissen</w:t>
      </w:r>
      <w:proofErr w:type="spellEnd"/>
      <w:r w:rsidRPr="007637C9">
        <w:rPr>
          <w:rFonts w:ascii="Times New Roman" w:hAnsi="Times New Roman" w:cs="Times New Roman"/>
          <w:sz w:val="24"/>
          <w:szCs w:val="24"/>
        </w:rPr>
        <w:t xml:space="preserve">, &amp; Scheele, 2014) and it is likely that a person would be </w:t>
      </w:r>
      <w:r w:rsidRPr="007637C9">
        <w:rPr>
          <w:rFonts w:ascii="Times New Roman" w:hAnsi="Times New Roman" w:cs="Times New Roman"/>
          <w:sz w:val="24"/>
          <w:szCs w:val="24"/>
        </w:rPr>
        <w:lastRenderedPageBreak/>
        <w:t xml:space="preserve">deemed adequately trained to perform the role if they were able to complete such actions with minimal </w:t>
      </w:r>
      <w:r w:rsidR="007C46C0" w:rsidRPr="007637C9">
        <w:rPr>
          <w:rFonts w:ascii="Times New Roman" w:hAnsi="Times New Roman" w:cs="Times New Roman"/>
          <w:sz w:val="24"/>
          <w:szCs w:val="24"/>
        </w:rPr>
        <w:t xml:space="preserve">or no </w:t>
      </w:r>
      <w:r w:rsidRPr="007637C9">
        <w:rPr>
          <w:rFonts w:ascii="Times New Roman" w:hAnsi="Times New Roman" w:cs="Times New Roman"/>
          <w:sz w:val="24"/>
          <w:szCs w:val="24"/>
        </w:rPr>
        <w:t xml:space="preserve">supervision (Dewey et al., 2017; van </w:t>
      </w:r>
      <w:proofErr w:type="spellStart"/>
      <w:r w:rsidRPr="007637C9">
        <w:rPr>
          <w:rFonts w:ascii="Times New Roman" w:hAnsi="Times New Roman" w:cs="Times New Roman"/>
          <w:sz w:val="24"/>
          <w:szCs w:val="24"/>
        </w:rPr>
        <w:t>Bockel</w:t>
      </w:r>
      <w:proofErr w:type="spellEnd"/>
      <w:r w:rsidRPr="007637C9">
        <w:rPr>
          <w:rFonts w:ascii="Times New Roman" w:hAnsi="Times New Roman" w:cs="Times New Roman"/>
          <w:sz w:val="24"/>
          <w:szCs w:val="24"/>
        </w:rPr>
        <w:t xml:space="preserve"> et al., 2019; Weller et al., 2014).  </w:t>
      </w:r>
    </w:p>
    <w:p w14:paraId="2E538158" w14:textId="12AE9DCB" w:rsidR="00CD503F" w:rsidRPr="007637C9" w:rsidRDefault="00CD503F"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EPA</w:t>
      </w:r>
      <w:r w:rsidR="0080357C" w:rsidRPr="007637C9">
        <w:rPr>
          <w:rFonts w:ascii="Times New Roman" w:hAnsi="Times New Roman" w:cs="Times New Roman"/>
          <w:sz w:val="24"/>
          <w:szCs w:val="24"/>
        </w:rPr>
        <w:t>s</w:t>
      </w:r>
      <w:r w:rsidRPr="007637C9">
        <w:rPr>
          <w:rFonts w:ascii="Times New Roman" w:hAnsi="Times New Roman" w:cs="Times New Roman"/>
          <w:sz w:val="24"/>
          <w:szCs w:val="24"/>
        </w:rPr>
        <w:t xml:space="preserve"> are usually based upon professional frameworks with clear stages of competency development towards expertise in practice (Hauer et al., 2013; ten Cate &amp; Scheele, 2007; ten Cate, 2013), </w:t>
      </w:r>
      <w:r w:rsidR="00470E8F" w:rsidRPr="007637C9">
        <w:rPr>
          <w:rFonts w:ascii="Times New Roman" w:hAnsi="Times New Roman" w:cs="Times New Roman"/>
          <w:sz w:val="24"/>
          <w:szCs w:val="24"/>
        </w:rPr>
        <w:t>enabling</w:t>
      </w:r>
      <w:r w:rsidRPr="007637C9">
        <w:rPr>
          <w:rFonts w:ascii="Times New Roman" w:hAnsi="Times New Roman" w:cs="Times New Roman"/>
          <w:sz w:val="24"/>
          <w:szCs w:val="24"/>
        </w:rPr>
        <w:t xml:space="preserve"> students to display specific practical expertise relevant to the role (Loftus, 2016). When the required level of competency is achieved, the student can be trusted to select and complete the appropriate task necessary (ten Cate, </w:t>
      </w:r>
      <w:proofErr w:type="gramStart"/>
      <w:r w:rsidRPr="007637C9">
        <w:rPr>
          <w:rFonts w:ascii="Times New Roman" w:hAnsi="Times New Roman" w:cs="Times New Roman"/>
          <w:sz w:val="24"/>
          <w:szCs w:val="24"/>
        </w:rPr>
        <w:t>2013;</w:t>
      </w:r>
      <w:proofErr w:type="gramEnd"/>
      <w:r w:rsidRPr="007637C9">
        <w:rPr>
          <w:rFonts w:ascii="Times New Roman" w:hAnsi="Times New Roman" w:cs="Times New Roman"/>
          <w:sz w:val="24"/>
          <w:szCs w:val="24"/>
        </w:rPr>
        <w:t xml:space="preserve"> Wagner &amp; Reeves, 2015). An EPA is not a singular entity but must incorporate abilities across domains of performance and apply such abilities as an integrated skill when required (Chen et al, 2015; Dewey et al., 2017). The domains must include specific task knowledge, but also professional skills such as communication, empathy, decision-making, and leadership (</w:t>
      </w:r>
      <w:proofErr w:type="spellStart"/>
      <w:r w:rsidRPr="007637C9">
        <w:rPr>
          <w:rFonts w:ascii="Times New Roman" w:hAnsi="Times New Roman" w:cs="Times New Roman"/>
          <w:sz w:val="24"/>
          <w:szCs w:val="24"/>
        </w:rPr>
        <w:t>Pangaro</w:t>
      </w:r>
      <w:proofErr w:type="spellEnd"/>
      <w:r w:rsidRPr="007637C9">
        <w:rPr>
          <w:rFonts w:ascii="Times New Roman" w:hAnsi="Times New Roman" w:cs="Times New Roman"/>
          <w:sz w:val="24"/>
          <w:szCs w:val="24"/>
        </w:rPr>
        <w:t xml:space="preserve"> &amp; ten Cate, 2013) and ensure that the student assumes responsibility for performance and achieve</w:t>
      </w:r>
      <w:r w:rsidR="00F704D6" w:rsidRPr="007637C9">
        <w:rPr>
          <w:rFonts w:ascii="Times New Roman" w:hAnsi="Times New Roman" w:cs="Times New Roman"/>
          <w:sz w:val="24"/>
          <w:szCs w:val="24"/>
        </w:rPr>
        <w:t>s</w:t>
      </w:r>
      <w:r w:rsidRPr="007637C9">
        <w:rPr>
          <w:rFonts w:ascii="Times New Roman" w:hAnsi="Times New Roman" w:cs="Times New Roman"/>
          <w:sz w:val="24"/>
          <w:szCs w:val="24"/>
        </w:rPr>
        <w:t xml:space="preserve"> task autonomy. </w:t>
      </w:r>
    </w:p>
    <w:p w14:paraId="5495D606" w14:textId="24850374" w:rsidR="00CD503F" w:rsidRPr="00CF4068" w:rsidRDefault="00CD503F" w:rsidP="00CF4068">
      <w:pPr>
        <w:pStyle w:val="ListParagraph"/>
        <w:keepNext/>
        <w:numPr>
          <w:ilvl w:val="1"/>
          <w:numId w:val="2"/>
        </w:numPr>
        <w:tabs>
          <w:tab w:val="left" w:pos="6840"/>
        </w:tabs>
        <w:spacing w:after="120" w:line="480" w:lineRule="auto"/>
        <w:rPr>
          <w:b/>
          <w:bCs/>
          <w:i/>
          <w:iCs/>
        </w:rPr>
      </w:pPr>
      <w:r w:rsidRPr="00CF4068">
        <w:rPr>
          <w:b/>
          <w:bCs/>
          <w:i/>
          <w:iCs/>
        </w:rPr>
        <w:t>Issues with EPAs</w:t>
      </w:r>
    </w:p>
    <w:p w14:paraId="134081D8" w14:textId="3EC128F5" w:rsidR="00CD503F" w:rsidRPr="007637C9" w:rsidRDefault="00CD503F"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While entrustable professional activities are widely seen as a valuable and constructive education modality</w:t>
      </w:r>
      <w:r w:rsidR="00C108A6" w:rsidRPr="007637C9">
        <w:rPr>
          <w:rFonts w:ascii="Times New Roman" w:hAnsi="Times New Roman" w:cs="Times New Roman"/>
          <w:sz w:val="24"/>
          <w:szCs w:val="24"/>
        </w:rPr>
        <w:t xml:space="preserve"> and </w:t>
      </w:r>
      <w:r w:rsidR="007F3D96" w:rsidRPr="007637C9">
        <w:rPr>
          <w:rFonts w:ascii="Times New Roman" w:hAnsi="Times New Roman" w:cs="Times New Roman"/>
          <w:sz w:val="24"/>
          <w:szCs w:val="24"/>
        </w:rPr>
        <w:t xml:space="preserve">an </w:t>
      </w:r>
      <w:r w:rsidR="00C108A6" w:rsidRPr="007637C9">
        <w:rPr>
          <w:rFonts w:ascii="Times New Roman" w:hAnsi="Times New Roman" w:cs="Times New Roman"/>
          <w:sz w:val="24"/>
          <w:szCs w:val="24"/>
        </w:rPr>
        <w:t>alternative to traditional CBME</w:t>
      </w:r>
      <w:r w:rsidRPr="007637C9">
        <w:rPr>
          <w:rFonts w:ascii="Times New Roman" w:hAnsi="Times New Roman" w:cs="Times New Roman"/>
          <w:sz w:val="24"/>
          <w:szCs w:val="24"/>
        </w:rPr>
        <w:t>, concerns have been raised relating to the implementation within medical education (</w:t>
      </w:r>
      <w:proofErr w:type="spellStart"/>
      <w:r w:rsidRPr="007637C9">
        <w:rPr>
          <w:rFonts w:ascii="Times New Roman" w:hAnsi="Times New Roman" w:cs="Times New Roman"/>
          <w:sz w:val="24"/>
          <w:szCs w:val="24"/>
        </w:rPr>
        <w:t>Krupat</w:t>
      </w:r>
      <w:proofErr w:type="spellEnd"/>
      <w:r w:rsidRPr="007637C9">
        <w:rPr>
          <w:rFonts w:ascii="Times New Roman" w:hAnsi="Times New Roman" w:cs="Times New Roman"/>
          <w:sz w:val="24"/>
          <w:szCs w:val="24"/>
        </w:rPr>
        <w:t xml:space="preserve">, 2018; Kwan, Crampton, </w:t>
      </w:r>
      <w:proofErr w:type="spellStart"/>
      <w:r w:rsidRPr="007637C9">
        <w:rPr>
          <w:rFonts w:ascii="Times New Roman" w:hAnsi="Times New Roman" w:cs="Times New Roman"/>
          <w:sz w:val="24"/>
          <w:szCs w:val="24"/>
        </w:rPr>
        <w:t>Mogensen</w:t>
      </w:r>
      <w:proofErr w:type="spellEnd"/>
      <w:r w:rsidRPr="007637C9">
        <w:rPr>
          <w:rFonts w:ascii="Times New Roman" w:hAnsi="Times New Roman" w:cs="Times New Roman"/>
          <w:sz w:val="24"/>
          <w:szCs w:val="24"/>
        </w:rPr>
        <w:t xml:space="preserve">, Weaver, van der Vleuten, &amp; Hu, 2016; O’Dowd, Lydon, O’Connor, Madden, &amp; Byrne, 2019). These </w:t>
      </w:r>
      <w:r w:rsidR="00CC7A97">
        <w:rPr>
          <w:rFonts w:ascii="Times New Roman" w:hAnsi="Times New Roman" w:cs="Times New Roman"/>
          <w:sz w:val="24"/>
          <w:szCs w:val="24"/>
        </w:rPr>
        <w:t>concerns relate to four areas:</w:t>
      </w:r>
      <w:r w:rsidRPr="007637C9">
        <w:rPr>
          <w:rFonts w:ascii="Times New Roman" w:hAnsi="Times New Roman" w:cs="Times New Roman"/>
          <w:sz w:val="24"/>
          <w:szCs w:val="24"/>
        </w:rPr>
        <w:t xml:space="preserve"> content and focus, measurement and assessment, suitability of medical EPAs, and the quality and standardisation of EPA development. </w:t>
      </w:r>
      <w:proofErr w:type="spellStart"/>
      <w:r w:rsidRPr="007637C9">
        <w:rPr>
          <w:rFonts w:ascii="Times New Roman" w:hAnsi="Times New Roman" w:cs="Times New Roman"/>
          <w:sz w:val="24"/>
          <w:szCs w:val="24"/>
        </w:rPr>
        <w:t>Krupat</w:t>
      </w:r>
      <w:proofErr w:type="spellEnd"/>
      <w:r w:rsidRPr="007637C9">
        <w:rPr>
          <w:rFonts w:ascii="Times New Roman" w:hAnsi="Times New Roman" w:cs="Times New Roman"/>
          <w:sz w:val="24"/>
          <w:szCs w:val="24"/>
        </w:rPr>
        <w:t xml:space="preserve"> (2018) and Kwan et al. (2016) both described how there is discord between clinician</w:t>
      </w:r>
      <w:r w:rsidR="004766FC" w:rsidRPr="007637C9">
        <w:rPr>
          <w:rFonts w:ascii="Times New Roman" w:hAnsi="Times New Roman" w:cs="Times New Roman"/>
          <w:sz w:val="24"/>
          <w:szCs w:val="24"/>
        </w:rPr>
        <w:t>s</w:t>
      </w:r>
      <w:r w:rsidRPr="007637C9">
        <w:rPr>
          <w:rFonts w:ascii="Times New Roman" w:hAnsi="Times New Roman" w:cs="Times New Roman"/>
          <w:sz w:val="24"/>
          <w:szCs w:val="24"/>
        </w:rPr>
        <w:t xml:space="preserve">’ interpretation of EPA structure and </w:t>
      </w:r>
      <w:r w:rsidR="00E067ED" w:rsidRPr="007637C9">
        <w:rPr>
          <w:rFonts w:ascii="Times New Roman" w:hAnsi="Times New Roman" w:cs="Times New Roman"/>
          <w:sz w:val="24"/>
          <w:szCs w:val="24"/>
        </w:rPr>
        <w:t xml:space="preserve">their </w:t>
      </w:r>
      <w:r w:rsidRPr="007637C9">
        <w:rPr>
          <w:rFonts w:ascii="Times New Roman" w:hAnsi="Times New Roman" w:cs="Times New Roman"/>
          <w:sz w:val="24"/>
          <w:szCs w:val="24"/>
        </w:rPr>
        <w:t>application</w:t>
      </w:r>
      <w:r w:rsidR="00E067ED"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E067ED" w:rsidRPr="007637C9">
        <w:rPr>
          <w:rFonts w:ascii="Times New Roman" w:hAnsi="Times New Roman" w:cs="Times New Roman"/>
          <w:sz w:val="24"/>
          <w:szCs w:val="24"/>
        </w:rPr>
        <w:t>For example,</w:t>
      </w:r>
      <w:r w:rsidRPr="007637C9">
        <w:rPr>
          <w:rFonts w:ascii="Times New Roman" w:hAnsi="Times New Roman" w:cs="Times New Roman"/>
          <w:sz w:val="24"/>
          <w:szCs w:val="24"/>
        </w:rPr>
        <w:t xml:space="preserve"> creating single EPAs for multiple tasks or vice versa, </w:t>
      </w:r>
      <w:r w:rsidR="00E067ED" w:rsidRPr="007637C9">
        <w:rPr>
          <w:rFonts w:ascii="Times New Roman" w:hAnsi="Times New Roman" w:cs="Times New Roman"/>
          <w:sz w:val="24"/>
          <w:szCs w:val="24"/>
        </w:rPr>
        <w:t xml:space="preserve">or </w:t>
      </w:r>
      <w:r w:rsidRPr="007637C9">
        <w:rPr>
          <w:rFonts w:ascii="Times New Roman" w:hAnsi="Times New Roman" w:cs="Times New Roman"/>
          <w:sz w:val="24"/>
          <w:szCs w:val="24"/>
        </w:rPr>
        <w:t>the inclusion of EPAs not suitable across all levels</w:t>
      </w:r>
      <w:r w:rsidR="00E067ED"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E067ED" w:rsidRPr="007637C9">
        <w:rPr>
          <w:rFonts w:ascii="Times New Roman" w:hAnsi="Times New Roman" w:cs="Times New Roman"/>
          <w:sz w:val="24"/>
          <w:szCs w:val="24"/>
        </w:rPr>
        <w:t>Similarly,</w:t>
      </w:r>
      <w:r w:rsidRPr="007637C9">
        <w:rPr>
          <w:rFonts w:ascii="Times New Roman" w:hAnsi="Times New Roman" w:cs="Times New Roman"/>
          <w:sz w:val="24"/>
          <w:szCs w:val="24"/>
        </w:rPr>
        <w:t xml:space="preserve"> a best fit is not necessarily available or described (O’Dowd, 2019), and this can lead to ad-hoc decisions (Kwan et al., 2016) which may limit the validity </w:t>
      </w:r>
      <w:r w:rsidRPr="007637C9">
        <w:rPr>
          <w:rFonts w:ascii="Times New Roman" w:hAnsi="Times New Roman" w:cs="Times New Roman"/>
          <w:sz w:val="24"/>
          <w:szCs w:val="24"/>
        </w:rPr>
        <w:lastRenderedPageBreak/>
        <w:t>of the</w:t>
      </w:r>
      <w:r w:rsidR="00E067ED" w:rsidRPr="007637C9">
        <w:rPr>
          <w:rFonts w:ascii="Times New Roman" w:hAnsi="Times New Roman" w:cs="Times New Roman"/>
          <w:sz w:val="24"/>
          <w:szCs w:val="24"/>
        </w:rPr>
        <w:t xml:space="preserve"> EPA</w:t>
      </w:r>
      <w:r w:rsidRPr="007637C9">
        <w:rPr>
          <w:rFonts w:ascii="Times New Roman" w:hAnsi="Times New Roman" w:cs="Times New Roman"/>
          <w:sz w:val="24"/>
          <w:szCs w:val="24"/>
        </w:rPr>
        <w:t>.  These content concerns are likely specific to the medical CORE EPAs defined by the Accreditation Council for Graduate Medical Education in the USA (</w:t>
      </w:r>
      <w:proofErr w:type="spellStart"/>
      <w:r w:rsidRPr="007637C9">
        <w:rPr>
          <w:rFonts w:ascii="Times New Roman" w:hAnsi="Times New Roman" w:cs="Times New Roman"/>
          <w:sz w:val="24"/>
          <w:szCs w:val="24"/>
        </w:rPr>
        <w:t>Krupat</w:t>
      </w:r>
      <w:proofErr w:type="spellEnd"/>
      <w:r w:rsidRPr="007637C9">
        <w:rPr>
          <w:rFonts w:ascii="Times New Roman" w:hAnsi="Times New Roman" w:cs="Times New Roman"/>
          <w:sz w:val="24"/>
          <w:szCs w:val="24"/>
        </w:rPr>
        <w:t xml:space="preserve">, 2018) as this is the most common framework examined (Kwan et al., 2016), but they are legitimate issues that must be considered when constructing educational EPAs. </w:t>
      </w:r>
    </w:p>
    <w:p w14:paraId="2CC1F0E5" w14:textId="226E60DC" w:rsidR="00CD503F" w:rsidRPr="007637C9" w:rsidRDefault="00CD503F"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A broader criticism is directed at how EPAs are assessed using an apparent objective definition of task success with a subjective assessment of whether the trainee has achieved success (Crossley &amp; Jolly, 2012; </w:t>
      </w:r>
      <w:proofErr w:type="spellStart"/>
      <w:r w:rsidRPr="007637C9">
        <w:rPr>
          <w:rFonts w:ascii="Times New Roman" w:hAnsi="Times New Roman" w:cs="Times New Roman"/>
          <w:sz w:val="24"/>
          <w:szCs w:val="24"/>
        </w:rPr>
        <w:t>Krupat</w:t>
      </w:r>
      <w:proofErr w:type="spellEnd"/>
      <w:r w:rsidRPr="007637C9">
        <w:rPr>
          <w:rFonts w:ascii="Times New Roman" w:hAnsi="Times New Roman" w:cs="Times New Roman"/>
          <w:sz w:val="24"/>
          <w:szCs w:val="24"/>
        </w:rPr>
        <w:t>, 2018). While this introduces a potential measurement judgement that affects the usefulness of the EPA</w:t>
      </w:r>
      <w:r w:rsidR="00D91FB2" w:rsidRPr="007637C9">
        <w:rPr>
          <w:rFonts w:ascii="Times New Roman" w:hAnsi="Times New Roman" w:cs="Times New Roman"/>
          <w:sz w:val="24"/>
          <w:szCs w:val="24"/>
        </w:rPr>
        <w:t xml:space="preserve">, the subjective </w:t>
      </w:r>
      <w:r w:rsidR="003037A5" w:rsidRPr="007637C9">
        <w:rPr>
          <w:rFonts w:ascii="Times New Roman" w:hAnsi="Times New Roman" w:cs="Times New Roman"/>
          <w:sz w:val="24"/>
          <w:szCs w:val="24"/>
        </w:rPr>
        <w:t xml:space="preserve">aspect of </w:t>
      </w:r>
      <w:r w:rsidR="00525D8A" w:rsidRPr="007637C9">
        <w:rPr>
          <w:rFonts w:ascii="Times New Roman" w:hAnsi="Times New Roman" w:cs="Times New Roman"/>
          <w:sz w:val="24"/>
          <w:szCs w:val="24"/>
        </w:rPr>
        <w:t>decision-making</w:t>
      </w:r>
      <w:r w:rsidR="003037A5" w:rsidRPr="007637C9">
        <w:rPr>
          <w:rFonts w:ascii="Times New Roman" w:hAnsi="Times New Roman" w:cs="Times New Roman"/>
          <w:sz w:val="24"/>
          <w:szCs w:val="24"/>
        </w:rPr>
        <w:t xml:space="preserve"> is present in all forms of education</w:t>
      </w:r>
      <w:r w:rsidR="00525D8A" w:rsidRPr="007637C9">
        <w:rPr>
          <w:rFonts w:ascii="Times New Roman" w:hAnsi="Times New Roman" w:cs="Times New Roman"/>
          <w:sz w:val="24"/>
          <w:szCs w:val="24"/>
        </w:rPr>
        <w:t>al assessment</w:t>
      </w:r>
      <w:r w:rsidRPr="007637C9">
        <w:rPr>
          <w:rFonts w:ascii="Times New Roman" w:hAnsi="Times New Roman" w:cs="Times New Roman"/>
          <w:sz w:val="24"/>
          <w:szCs w:val="24"/>
        </w:rPr>
        <w:t xml:space="preserve">. In fact, the advice provided by ten Cate et al. (2015) </w:t>
      </w:r>
      <w:r w:rsidR="0038534F" w:rsidRPr="007637C9">
        <w:rPr>
          <w:rFonts w:ascii="Times New Roman" w:hAnsi="Times New Roman" w:cs="Times New Roman"/>
          <w:sz w:val="24"/>
          <w:szCs w:val="24"/>
        </w:rPr>
        <w:t>reinforces the point</w:t>
      </w:r>
      <w:r w:rsidRPr="007637C9">
        <w:rPr>
          <w:rFonts w:ascii="Times New Roman" w:hAnsi="Times New Roman" w:cs="Times New Roman"/>
          <w:sz w:val="24"/>
          <w:szCs w:val="24"/>
        </w:rPr>
        <w:t xml:space="preserve"> that decisions should be based on an assessor’s direct observation of the student or trainee.  Furthermore, using specifically described anchors, such as those linked to the Wagner and Reeves (2015) criteria</w:t>
      </w:r>
      <w:r w:rsidR="00885CE9" w:rsidRPr="007637C9">
        <w:rPr>
          <w:rFonts w:ascii="Times New Roman" w:hAnsi="Times New Roman" w:cs="Times New Roman"/>
          <w:sz w:val="24"/>
          <w:szCs w:val="24"/>
        </w:rPr>
        <w:t>, that follow ten Cate’s design guidelines,</w:t>
      </w:r>
      <w:r w:rsidRPr="007637C9">
        <w:rPr>
          <w:rFonts w:ascii="Times New Roman" w:hAnsi="Times New Roman" w:cs="Times New Roman"/>
          <w:sz w:val="24"/>
          <w:szCs w:val="24"/>
        </w:rPr>
        <w:t xml:space="preserve"> facilitates </w:t>
      </w:r>
      <w:proofErr w:type="gramStart"/>
      <w:r w:rsidRPr="007637C9">
        <w:rPr>
          <w:rFonts w:ascii="Times New Roman" w:hAnsi="Times New Roman" w:cs="Times New Roman"/>
          <w:sz w:val="24"/>
          <w:szCs w:val="24"/>
        </w:rPr>
        <w:t>judgement</w:t>
      </w:r>
      <w:proofErr w:type="gramEnd"/>
      <w:r w:rsidRPr="007637C9">
        <w:rPr>
          <w:rFonts w:ascii="Times New Roman" w:hAnsi="Times New Roman" w:cs="Times New Roman"/>
          <w:sz w:val="24"/>
          <w:szCs w:val="24"/>
        </w:rPr>
        <w:t xml:space="preserve"> and improve</w:t>
      </w:r>
      <w:r w:rsidR="007F3D96" w:rsidRPr="007637C9">
        <w:rPr>
          <w:rFonts w:ascii="Times New Roman" w:hAnsi="Times New Roman" w:cs="Times New Roman"/>
          <w:sz w:val="24"/>
          <w:szCs w:val="24"/>
        </w:rPr>
        <w:t>s</w:t>
      </w:r>
      <w:r w:rsidRPr="007637C9">
        <w:rPr>
          <w:rFonts w:ascii="Times New Roman" w:hAnsi="Times New Roman" w:cs="Times New Roman"/>
          <w:sz w:val="24"/>
          <w:szCs w:val="24"/>
        </w:rPr>
        <w:t xml:space="preserve"> effectiveness (Derbyshire &amp; McDonald, 2004). It is therefore suitable to use anchors such as ‘no entrustment to complete’ and ‘completely unsupervised’ rather than ‘poor’ and ‘excellent’ as these are too vague. Dewey et al. (2017) </w:t>
      </w:r>
      <w:proofErr w:type="gramStart"/>
      <w:r w:rsidRPr="007637C9">
        <w:rPr>
          <w:rFonts w:ascii="Times New Roman" w:hAnsi="Times New Roman" w:cs="Times New Roman"/>
          <w:sz w:val="24"/>
          <w:szCs w:val="24"/>
        </w:rPr>
        <w:t>highlight</w:t>
      </w:r>
      <w:proofErr w:type="gramEnd"/>
      <w:r w:rsidRPr="007637C9">
        <w:rPr>
          <w:rFonts w:ascii="Times New Roman" w:hAnsi="Times New Roman" w:cs="Times New Roman"/>
          <w:sz w:val="24"/>
          <w:szCs w:val="24"/>
        </w:rPr>
        <w:t xml:space="preserve"> the need for the trainer or educator to be familiar with EPAs and </w:t>
      </w:r>
      <w:r w:rsidR="007F3D96" w:rsidRPr="007637C9">
        <w:rPr>
          <w:rFonts w:ascii="Times New Roman" w:hAnsi="Times New Roman" w:cs="Times New Roman"/>
          <w:sz w:val="24"/>
          <w:szCs w:val="24"/>
        </w:rPr>
        <w:t xml:space="preserve">to </w:t>
      </w:r>
      <w:r w:rsidRPr="007637C9">
        <w:rPr>
          <w:rFonts w:ascii="Times New Roman" w:hAnsi="Times New Roman" w:cs="Times New Roman"/>
          <w:sz w:val="24"/>
          <w:szCs w:val="24"/>
        </w:rPr>
        <w:t xml:space="preserve">be able to make </w:t>
      </w:r>
      <w:r w:rsidR="007F3D96" w:rsidRPr="007637C9">
        <w:rPr>
          <w:rFonts w:ascii="Times New Roman" w:hAnsi="Times New Roman" w:cs="Times New Roman"/>
          <w:sz w:val="24"/>
          <w:szCs w:val="24"/>
        </w:rPr>
        <w:t>accurate</w:t>
      </w:r>
      <w:r w:rsidR="00797333" w:rsidRPr="007637C9">
        <w:rPr>
          <w:rFonts w:ascii="Times New Roman" w:hAnsi="Times New Roman" w:cs="Times New Roman"/>
          <w:sz w:val="24"/>
          <w:szCs w:val="24"/>
        </w:rPr>
        <w:t xml:space="preserve"> assessment</w:t>
      </w:r>
      <w:r w:rsidR="007F3D96" w:rsidRPr="007637C9">
        <w:rPr>
          <w:rFonts w:ascii="Times New Roman" w:hAnsi="Times New Roman" w:cs="Times New Roman"/>
          <w:sz w:val="24"/>
          <w:szCs w:val="24"/>
        </w:rPr>
        <w:t xml:space="preserve"> </w:t>
      </w:r>
      <w:r w:rsidRPr="007637C9">
        <w:rPr>
          <w:rFonts w:ascii="Times New Roman" w:hAnsi="Times New Roman" w:cs="Times New Roman"/>
          <w:sz w:val="24"/>
          <w:szCs w:val="24"/>
        </w:rPr>
        <w:t>on</w:t>
      </w:r>
      <w:r w:rsidR="007F3D96" w:rsidRPr="007637C9">
        <w:rPr>
          <w:rFonts w:ascii="Times New Roman" w:hAnsi="Times New Roman" w:cs="Times New Roman"/>
          <w:sz w:val="24"/>
          <w:szCs w:val="24"/>
        </w:rPr>
        <w:t xml:space="preserve"> student</w:t>
      </w:r>
      <w:r w:rsidRPr="007637C9">
        <w:rPr>
          <w:rFonts w:ascii="Times New Roman" w:hAnsi="Times New Roman" w:cs="Times New Roman"/>
          <w:sz w:val="24"/>
          <w:szCs w:val="24"/>
        </w:rPr>
        <w:t xml:space="preserve"> competence (Ericsson, </w:t>
      </w:r>
      <w:proofErr w:type="spellStart"/>
      <w:r w:rsidRPr="007637C9">
        <w:rPr>
          <w:rFonts w:ascii="Times New Roman" w:hAnsi="Times New Roman" w:cs="Times New Roman"/>
          <w:sz w:val="24"/>
          <w:szCs w:val="24"/>
        </w:rPr>
        <w:t>Krampe</w:t>
      </w:r>
      <w:proofErr w:type="spellEnd"/>
      <w:r w:rsidRPr="007637C9">
        <w:rPr>
          <w:rFonts w:ascii="Times New Roman" w:hAnsi="Times New Roman" w:cs="Times New Roman"/>
          <w:sz w:val="24"/>
          <w:szCs w:val="24"/>
        </w:rPr>
        <w:t xml:space="preserve">, &amp; </w:t>
      </w:r>
      <w:proofErr w:type="spellStart"/>
      <w:r w:rsidRPr="007637C9">
        <w:rPr>
          <w:rFonts w:ascii="Times New Roman" w:hAnsi="Times New Roman" w:cs="Times New Roman"/>
          <w:sz w:val="24"/>
          <w:szCs w:val="24"/>
        </w:rPr>
        <w:t>Tesch</w:t>
      </w:r>
      <w:proofErr w:type="spellEnd"/>
      <w:r w:rsidRPr="007637C9">
        <w:rPr>
          <w:rFonts w:ascii="Times New Roman" w:hAnsi="Times New Roman" w:cs="Times New Roman"/>
          <w:sz w:val="24"/>
          <w:szCs w:val="24"/>
        </w:rPr>
        <w:t xml:space="preserve">-Romer, 1993; </w:t>
      </w:r>
      <w:proofErr w:type="spellStart"/>
      <w:r w:rsidRPr="007637C9">
        <w:rPr>
          <w:rFonts w:ascii="Times New Roman" w:hAnsi="Times New Roman" w:cs="Times New Roman"/>
          <w:sz w:val="24"/>
          <w:szCs w:val="24"/>
        </w:rPr>
        <w:t>Iobst</w:t>
      </w:r>
      <w:proofErr w:type="spellEnd"/>
      <w:r w:rsidRPr="007637C9">
        <w:rPr>
          <w:rFonts w:ascii="Times New Roman" w:hAnsi="Times New Roman" w:cs="Times New Roman"/>
          <w:sz w:val="24"/>
          <w:szCs w:val="24"/>
        </w:rPr>
        <w:t xml:space="preserve"> et al., 2010</w:t>
      </w:r>
      <w:r w:rsidR="00803D46" w:rsidRPr="007637C9">
        <w:rPr>
          <w:rFonts w:ascii="Times New Roman" w:hAnsi="Times New Roman" w:cs="Times New Roman"/>
          <w:sz w:val="24"/>
          <w:szCs w:val="24"/>
        </w:rPr>
        <w:t>)</w:t>
      </w:r>
      <w:r w:rsidR="00F6427F"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EC2221" w:rsidRPr="007637C9">
        <w:rPr>
          <w:rFonts w:ascii="Times New Roman" w:hAnsi="Times New Roman" w:cs="Times New Roman"/>
          <w:sz w:val="24"/>
          <w:szCs w:val="24"/>
        </w:rPr>
        <w:t>Thus,</w:t>
      </w:r>
      <w:r w:rsidRPr="007637C9">
        <w:rPr>
          <w:rFonts w:ascii="Times New Roman" w:hAnsi="Times New Roman" w:cs="Times New Roman"/>
          <w:sz w:val="24"/>
          <w:szCs w:val="24"/>
        </w:rPr>
        <w:t xml:space="preserve"> incorporating a process of educating the academic staff in a position of delivering and assessing EPA in Sport </w:t>
      </w:r>
      <w:r w:rsidR="003A663E" w:rsidRPr="007637C9">
        <w:rPr>
          <w:rFonts w:ascii="Times New Roman" w:hAnsi="Times New Roman" w:cs="Times New Roman"/>
          <w:sz w:val="24"/>
          <w:szCs w:val="24"/>
        </w:rPr>
        <w:t>and</w:t>
      </w:r>
      <w:r w:rsidRPr="007637C9">
        <w:rPr>
          <w:rFonts w:ascii="Times New Roman" w:hAnsi="Times New Roman" w:cs="Times New Roman"/>
          <w:sz w:val="24"/>
          <w:szCs w:val="24"/>
        </w:rPr>
        <w:t xml:space="preserve"> Exercise Sciences should be considered when developing it as a pedagogic approach.  </w:t>
      </w:r>
    </w:p>
    <w:p w14:paraId="2D00DBC8" w14:textId="4CEDED05" w:rsidR="00CD503F" w:rsidRPr="00CF4068" w:rsidRDefault="00CD503F" w:rsidP="00CF4068">
      <w:pPr>
        <w:pStyle w:val="ListParagraph"/>
        <w:keepNext/>
        <w:numPr>
          <w:ilvl w:val="1"/>
          <w:numId w:val="2"/>
        </w:numPr>
        <w:tabs>
          <w:tab w:val="left" w:pos="6840"/>
        </w:tabs>
        <w:spacing w:after="120" w:line="480" w:lineRule="auto"/>
        <w:rPr>
          <w:b/>
          <w:bCs/>
          <w:i/>
          <w:iCs/>
        </w:rPr>
      </w:pPr>
      <w:r w:rsidRPr="00CF4068">
        <w:rPr>
          <w:b/>
          <w:bCs/>
          <w:i/>
          <w:iCs/>
        </w:rPr>
        <w:t xml:space="preserve">Link to Sport </w:t>
      </w:r>
      <w:r w:rsidR="003A663E" w:rsidRPr="00CF4068">
        <w:rPr>
          <w:b/>
          <w:bCs/>
          <w:i/>
          <w:iCs/>
        </w:rPr>
        <w:t>and</w:t>
      </w:r>
      <w:r w:rsidRPr="00CF4068">
        <w:rPr>
          <w:b/>
          <w:bCs/>
          <w:i/>
          <w:iCs/>
        </w:rPr>
        <w:t xml:space="preserve"> Exercise Sciences</w:t>
      </w:r>
    </w:p>
    <w:p w14:paraId="2DE7FCD5" w14:textId="3B8A043C" w:rsidR="00CD503F" w:rsidRPr="007637C9" w:rsidRDefault="00CD503F"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Professional standards are well established within healthcare and medicine (Chen et al., 2015)</w:t>
      </w:r>
      <w:r w:rsidR="00E16509" w:rsidRPr="007637C9">
        <w:rPr>
          <w:rFonts w:ascii="Times New Roman" w:hAnsi="Times New Roman" w:cs="Times New Roman"/>
          <w:sz w:val="24"/>
          <w:szCs w:val="24"/>
        </w:rPr>
        <w:t>.</w:t>
      </w:r>
      <w:r w:rsidR="00DE08D5" w:rsidRPr="007637C9">
        <w:rPr>
          <w:rFonts w:ascii="Times New Roman" w:hAnsi="Times New Roman" w:cs="Times New Roman"/>
          <w:sz w:val="24"/>
          <w:szCs w:val="24"/>
        </w:rPr>
        <w:t xml:space="preserve"> </w:t>
      </w:r>
      <w:r w:rsidR="00E16509" w:rsidRPr="007637C9">
        <w:rPr>
          <w:rFonts w:ascii="Times New Roman" w:hAnsi="Times New Roman" w:cs="Times New Roman"/>
          <w:sz w:val="24"/>
          <w:szCs w:val="24"/>
        </w:rPr>
        <w:t>H</w:t>
      </w:r>
      <w:r w:rsidRPr="007637C9">
        <w:rPr>
          <w:rFonts w:ascii="Times New Roman" w:hAnsi="Times New Roman" w:cs="Times New Roman"/>
          <w:sz w:val="24"/>
          <w:szCs w:val="24"/>
        </w:rPr>
        <w:t xml:space="preserve">owever, these are </w:t>
      </w:r>
      <w:r w:rsidR="003A663E" w:rsidRPr="007637C9">
        <w:rPr>
          <w:rFonts w:ascii="Times New Roman" w:hAnsi="Times New Roman" w:cs="Times New Roman"/>
          <w:sz w:val="24"/>
          <w:szCs w:val="24"/>
        </w:rPr>
        <w:t xml:space="preserve">somewhat </w:t>
      </w:r>
      <w:r w:rsidRPr="007637C9">
        <w:rPr>
          <w:rFonts w:ascii="Times New Roman" w:hAnsi="Times New Roman" w:cs="Times New Roman"/>
          <w:sz w:val="24"/>
          <w:szCs w:val="24"/>
        </w:rPr>
        <w:t xml:space="preserve">lacking in the field of </w:t>
      </w:r>
      <w:r w:rsidR="00DE08D5" w:rsidRPr="007637C9">
        <w:rPr>
          <w:rFonts w:ascii="Times New Roman" w:hAnsi="Times New Roman" w:cs="Times New Roman"/>
          <w:sz w:val="24"/>
          <w:szCs w:val="24"/>
        </w:rPr>
        <w:t>S</w:t>
      </w:r>
      <w:r w:rsidRPr="007637C9">
        <w:rPr>
          <w:rFonts w:ascii="Times New Roman" w:hAnsi="Times New Roman" w:cs="Times New Roman"/>
          <w:sz w:val="24"/>
          <w:szCs w:val="24"/>
        </w:rPr>
        <w:t xml:space="preserve">port </w:t>
      </w:r>
      <w:r w:rsidR="003A663E" w:rsidRPr="007637C9">
        <w:rPr>
          <w:rFonts w:ascii="Times New Roman" w:hAnsi="Times New Roman" w:cs="Times New Roman"/>
          <w:sz w:val="24"/>
          <w:szCs w:val="24"/>
        </w:rPr>
        <w:t>and</w:t>
      </w:r>
      <w:r w:rsidRPr="007637C9">
        <w:rPr>
          <w:rFonts w:ascii="Times New Roman" w:hAnsi="Times New Roman" w:cs="Times New Roman"/>
          <w:sz w:val="24"/>
          <w:szCs w:val="24"/>
        </w:rPr>
        <w:t xml:space="preserve"> </w:t>
      </w:r>
      <w:r w:rsidR="00DE08D5" w:rsidRPr="007637C9">
        <w:rPr>
          <w:rFonts w:ascii="Times New Roman" w:hAnsi="Times New Roman" w:cs="Times New Roman"/>
          <w:sz w:val="24"/>
          <w:szCs w:val="24"/>
        </w:rPr>
        <w:t>E</w:t>
      </w:r>
      <w:r w:rsidRPr="007637C9">
        <w:rPr>
          <w:rFonts w:ascii="Times New Roman" w:hAnsi="Times New Roman" w:cs="Times New Roman"/>
          <w:sz w:val="24"/>
          <w:szCs w:val="24"/>
        </w:rPr>
        <w:t xml:space="preserve">xercise </w:t>
      </w:r>
      <w:r w:rsidR="00DE08D5" w:rsidRPr="007637C9">
        <w:rPr>
          <w:rFonts w:ascii="Times New Roman" w:hAnsi="Times New Roman" w:cs="Times New Roman"/>
          <w:sz w:val="24"/>
          <w:szCs w:val="24"/>
        </w:rPr>
        <w:t>S</w:t>
      </w:r>
      <w:r w:rsidRPr="007637C9">
        <w:rPr>
          <w:rFonts w:ascii="Times New Roman" w:hAnsi="Times New Roman" w:cs="Times New Roman"/>
          <w:sz w:val="24"/>
          <w:szCs w:val="24"/>
        </w:rPr>
        <w:t>cience</w:t>
      </w:r>
      <w:r w:rsidR="00DE08D5" w:rsidRPr="007637C9">
        <w:rPr>
          <w:rFonts w:ascii="Times New Roman" w:hAnsi="Times New Roman" w:cs="Times New Roman"/>
          <w:sz w:val="24"/>
          <w:szCs w:val="24"/>
        </w:rPr>
        <w:t>s</w:t>
      </w:r>
      <w:r w:rsidRPr="007637C9">
        <w:rPr>
          <w:rFonts w:ascii="Times New Roman" w:hAnsi="Times New Roman" w:cs="Times New Roman"/>
          <w:sz w:val="24"/>
          <w:szCs w:val="24"/>
        </w:rPr>
        <w:t xml:space="preserve"> despite </w:t>
      </w:r>
      <w:r w:rsidR="003A663E" w:rsidRPr="007637C9">
        <w:rPr>
          <w:rFonts w:ascii="Times New Roman" w:hAnsi="Times New Roman" w:cs="Times New Roman"/>
          <w:sz w:val="24"/>
          <w:szCs w:val="24"/>
        </w:rPr>
        <w:t xml:space="preserve">sport and exercise science graduates </w:t>
      </w:r>
      <w:r w:rsidR="00800C91" w:rsidRPr="007637C9">
        <w:rPr>
          <w:rFonts w:ascii="Times New Roman" w:hAnsi="Times New Roman" w:cs="Times New Roman"/>
          <w:sz w:val="24"/>
          <w:szCs w:val="24"/>
        </w:rPr>
        <w:t xml:space="preserve">often </w:t>
      </w:r>
      <w:r w:rsidRPr="007637C9">
        <w:rPr>
          <w:rFonts w:ascii="Times New Roman" w:hAnsi="Times New Roman" w:cs="Times New Roman"/>
          <w:sz w:val="24"/>
          <w:szCs w:val="24"/>
        </w:rPr>
        <w:t xml:space="preserve">working </w:t>
      </w:r>
      <w:r w:rsidR="00800C91" w:rsidRPr="007637C9">
        <w:rPr>
          <w:rFonts w:ascii="Times New Roman" w:hAnsi="Times New Roman" w:cs="Times New Roman"/>
          <w:sz w:val="24"/>
          <w:szCs w:val="24"/>
        </w:rPr>
        <w:t>alongside</w:t>
      </w:r>
      <w:r w:rsidR="00EF7E08" w:rsidRPr="007637C9">
        <w:rPr>
          <w:rFonts w:ascii="Times New Roman" w:hAnsi="Times New Roman" w:cs="Times New Roman"/>
          <w:sz w:val="24"/>
          <w:szCs w:val="24"/>
        </w:rPr>
        <w:t xml:space="preserve"> health professionals such as physiotherapists</w:t>
      </w:r>
      <w:r w:rsidR="003A663E" w:rsidRPr="007637C9">
        <w:rPr>
          <w:rFonts w:ascii="Times New Roman" w:hAnsi="Times New Roman" w:cs="Times New Roman"/>
          <w:sz w:val="24"/>
          <w:szCs w:val="24"/>
        </w:rPr>
        <w:t>,</w:t>
      </w:r>
      <w:r w:rsidR="00EF7E08" w:rsidRPr="007637C9">
        <w:rPr>
          <w:rFonts w:ascii="Times New Roman" w:hAnsi="Times New Roman" w:cs="Times New Roman"/>
          <w:sz w:val="24"/>
          <w:szCs w:val="24"/>
        </w:rPr>
        <w:t xml:space="preserve"> </w:t>
      </w:r>
      <w:r w:rsidRPr="007637C9">
        <w:rPr>
          <w:rFonts w:ascii="Times New Roman" w:hAnsi="Times New Roman" w:cs="Times New Roman"/>
          <w:sz w:val="24"/>
          <w:szCs w:val="24"/>
        </w:rPr>
        <w:t xml:space="preserve">where physical testing and interventions are applied to elicit </w:t>
      </w:r>
      <w:r w:rsidRPr="007637C9">
        <w:rPr>
          <w:rFonts w:ascii="Times New Roman" w:hAnsi="Times New Roman" w:cs="Times New Roman"/>
          <w:sz w:val="24"/>
          <w:szCs w:val="24"/>
        </w:rPr>
        <w:lastRenderedPageBreak/>
        <w:t xml:space="preserve">physiological, </w:t>
      </w:r>
      <w:proofErr w:type="gramStart"/>
      <w:r w:rsidRPr="007637C9">
        <w:rPr>
          <w:rFonts w:ascii="Times New Roman" w:hAnsi="Times New Roman" w:cs="Times New Roman"/>
          <w:sz w:val="24"/>
          <w:szCs w:val="24"/>
        </w:rPr>
        <w:t>psychological</w:t>
      </w:r>
      <w:proofErr w:type="gramEnd"/>
      <w:r w:rsidRPr="007637C9">
        <w:rPr>
          <w:rFonts w:ascii="Times New Roman" w:hAnsi="Times New Roman" w:cs="Times New Roman"/>
          <w:sz w:val="24"/>
          <w:szCs w:val="24"/>
        </w:rPr>
        <w:t xml:space="preserve"> and biomechanical adaptations to create improvements in health and performance or prevent/treat injuries.  </w:t>
      </w:r>
      <w:r w:rsidR="00E03000" w:rsidRPr="007637C9">
        <w:rPr>
          <w:rFonts w:ascii="Times New Roman" w:hAnsi="Times New Roman" w:cs="Times New Roman"/>
          <w:sz w:val="24"/>
          <w:szCs w:val="24"/>
        </w:rPr>
        <w:t>S</w:t>
      </w:r>
      <w:r w:rsidRPr="007637C9">
        <w:rPr>
          <w:rFonts w:ascii="Times New Roman" w:hAnsi="Times New Roman" w:cs="Times New Roman"/>
          <w:sz w:val="24"/>
          <w:szCs w:val="24"/>
        </w:rPr>
        <w:t xml:space="preserve">port </w:t>
      </w:r>
      <w:r w:rsidR="00E03000" w:rsidRPr="007637C9">
        <w:rPr>
          <w:rFonts w:ascii="Times New Roman" w:hAnsi="Times New Roman" w:cs="Times New Roman"/>
          <w:sz w:val="24"/>
          <w:szCs w:val="24"/>
        </w:rPr>
        <w:t>and</w:t>
      </w:r>
      <w:r w:rsidRPr="007637C9">
        <w:rPr>
          <w:rFonts w:ascii="Times New Roman" w:hAnsi="Times New Roman" w:cs="Times New Roman"/>
          <w:sz w:val="24"/>
          <w:szCs w:val="24"/>
        </w:rPr>
        <w:t xml:space="preserve"> </w:t>
      </w:r>
      <w:r w:rsidR="00E03000" w:rsidRPr="007637C9">
        <w:rPr>
          <w:rFonts w:ascii="Times New Roman" w:hAnsi="Times New Roman" w:cs="Times New Roman"/>
          <w:sz w:val="24"/>
          <w:szCs w:val="24"/>
        </w:rPr>
        <w:t>e</w:t>
      </w:r>
      <w:r w:rsidRPr="007637C9">
        <w:rPr>
          <w:rFonts w:ascii="Times New Roman" w:hAnsi="Times New Roman" w:cs="Times New Roman"/>
          <w:sz w:val="24"/>
          <w:szCs w:val="24"/>
        </w:rPr>
        <w:t xml:space="preserve">xercise </w:t>
      </w:r>
      <w:r w:rsidR="00E03000" w:rsidRPr="007637C9">
        <w:rPr>
          <w:rFonts w:ascii="Times New Roman" w:hAnsi="Times New Roman" w:cs="Times New Roman"/>
          <w:sz w:val="24"/>
          <w:szCs w:val="24"/>
        </w:rPr>
        <w:t>s</w:t>
      </w:r>
      <w:r w:rsidRPr="007637C9">
        <w:rPr>
          <w:rFonts w:ascii="Times New Roman" w:hAnsi="Times New Roman" w:cs="Times New Roman"/>
          <w:sz w:val="24"/>
          <w:szCs w:val="24"/>
        </w:rPr>
        <w:t xml:space="preserve">cientists must display practical skills that are aligned to the requirements of the job role whilst working in applied setting, where poor practical ability will at best lead to a waste of time or </w:t>
      </w:r>
      <w:r w:rsidR="00553239" w:rsidRPr="007637C9">
        <w:rPr>
          <w:rFonts w:ascii="Times New Roman" w:hAnsi="Times New Roman" w:cs="Times New Roman"/>
          <w:sz w:val="24"/>
          <w:szCs w:val="24"/>
        </w:rPr>
        <w:t xml:space="preserve">lack of </w:t>
      </w:r>
      <w:r w:rsidRPr="007637C9">
        <w:rPr>
          <w:rFonts w:ascii="Times New Roman" w:hAnsi="Times New Roman" w:cs="Times New Roman"/>
          <w:sz w:val="24"/>
          <w:szCs w:val="24"/>
        </w:rPr>
        <w:t xml:space="preserve">professional trust, and </w:t>
      </w:r>
      <w:r w:rsidR="00DE08D5" w:rsidRPr="007637C9">
        <w:rPr>
          <w:rFonts w:ascii="Times New Roman" w:hAnsi="Times New Roman" w:cs="Times New Roman"/>
          <w:sz w:val="24"/>
          <w:szCs w:val="24"/>
        </w:rPr>
        <w:t>worse</w:t>
      </w:r>
      <w:r w:rsidRPr="007637C9">
        <w:rPr>
          <w:rFonts w:ascii="Times New Roman" w:hAnsi="Times New Roman" w:cs="Times New Roman"/>
          <w:sz w:val="24"/>
          <w:szCs w:val="24"/>
        </w:rPr>
        <w:t xml:space="preserve"> lead to career-ending injury or elimination from a competition (Le </w:t>
      </w:r>
      <w:proofErr w:type="spellStart"/>
      <w:r w:rsidRPr="007637C9">
        <w:rPr>
          <w:rFonts w:ascii="Times New Roman" w:hAnsi="Times New Roman" w:cs="Times New Roman"/>
          <w:sz w:val="24"/>
          <w:szCs w:val="24"/>
        </w:rPr>
        <w:t>Meur</w:t>
      </w:r>
      <w:proofErr w:type="spellEnd"/>
      <w:r w:rsidRPr="007637C9">
        <w:rPr>
          <w:rFonts w:ascii="Times New Roman" w:hAnsi="Times New Roman" w:cs="Times New Roman"/>
          <w:sz w:val="24"/>
          <w:szCs w:val="24"/>
        </w:rPr>
        <w:t xml:space="preserve"> &amp; Torres-Ronda, 2019).  Ensuring students are equipped with the appropriate practical competencies that require a minimal level of supervision on entering the workforce is necessary to develop graduate prospects as these are key attributes sought with sport.  </w:t>
      </w:r>
      <w:r w:rsidR="00C65EFF" w:rsidRPr="007637C9">
        <w:rPr>
          <w:rFonts w:ascii="Times New Roman" w:hAnsi="Times New Roman" w:cs="Times New Roman"/>
          <w:sz w:val="24"/>
          <w:szCs w:val="24"/>
        </w:rPr>
        <w:t xml:space="preserve">Practitioners </w:t>
      </w:r>
      <w:r w:rsidR="007F406B" w:rsidRPr="007637C9">
        <w:rPr>
          <w:rFonts w:ascii="Times New Roman" w:hAnsi="Times New Roman" w:cs="Times New Roman"/>
          <w:sz w:val="24"/>
          <w:szCs w:val="24"/>
        </w:rPr>
        <w:t xml:space="preserve">in this field </w:t>
      </w:r>
      <w:r w:rsidR="00932CC3" w:rsidRPr="007637C9">
        <w:rPr>
          <w:rFonts w:ascii="Times New Roman" w:hAnsi="Times New Roman" w:cs="Times New Roman"/>
          <w:sz w:val="24"/>
          <w:szCs w:val="24"/>
        </w:rPr>
        <w:t xml:space="preserve">frequently operate </w:t>
      </w:r>
      <w:r w:rsidR="00C65142" w:rsidRPr="007637C9">
        <w:rPr>
          <w:rFonts w:ascii="Times New Roman" w:hAnsi="Times New Roman" w:cs="Times New Roman"/>
          <w:sz w:val="24"/>
          <w:szCs w:val="24"/>
        </w:rPr>
        <w:t xml:space="preserve">individually and without </w:t>
      </w:r>
      <w:r w:rsidR="003A663E" w:rsidRPr="007637C9">
        <w:rPr>
          <w:rFonts w:ascii="Times New Roman" w:hAnsi="Times New Roman" w:cs="Times New Roman"/>
          <w:sz w:val="24"/>
          <w:szCs w:val="24"/>
        </w:rPr>
        <w:t xml:space="preserve">supervision </w:t>
      </w:r>
      <w:r w:rsidR="00B45698" w:rsidRPr="007637C9">
        <w:rPr>
          <w:rFonts w:ascii="Times New Roman" w:hAnsi="Times New Roman" w:cs="Times New Roman"/>
          <w:sz w:val="24"/>
          <w:szCs w:val="24"/>
        </w:rPr>
        <w:t>and thus</w:t>
      </w:r>
      <w:r w:rsidRPr="007637C9">
        <w:rPr>
          <w:rFonts w:ascii="Times New Roman" w:hAnsi="Times New Roman" w:cs="Times New Roman"/>
          <w:sz w:val="24"/>
          <w:szCs w:val="24"/>
        </w:rPr>
        <w:t xml:space="preserve">, the principles of competency-based education and entrustable professional activities </w:t>
      </w:r>
      <w:r w:rsidR="007F406B" w:rsidRPr="007637C9">
        <w:rPr>
          <w:rFonts w:ascii="Times New Roman" w:hAnsi="Times New Roman" w:cs="Times New Roman"/>
          <w:sz w:val="24"/>
          <w:szCs w:val="24"/>
        </w:rPr>
        <w:t>would be valuable to</w:t>
      </w:r>
      <w:r w:rsidRPr="007637C9">
        <w:rPr>
          <w:rFonts w:ascii="Times New Roman" w:hAnsi="Times New Roman" w:cs="Times New Roman"/>
          <w:sz w:val="24"/>
          <w:szCs w:val="24"/>
        </w:rPr>
        <w:t xml:space="preserve"> guide Sport </w:t>
      </w:r>
      <w:r w:rsidR="003A663E" w:rsidRPr="007637C9">
        <w:rPr>
          <w:rFonts w:ascii="Times New Roman" w:hAnsi="Times New Roman" w:cs="Times New Roman"/>
          <w:sz w:val="24"/>
          <w:szCs w:val="24"/>
        </w:rPr>
        <w:t>and</w:t>
      </w:r>
      <w:r w:rsidRPr="007637C9">
        <w:rPr>
          <w:rFonts w:ascii="Times New Roman" w:hAnsi="Times New Roman" w:cs="Times New Roman"/>
          <w:sz w:val="24"/>
          <w:szCs w:val="24"/>
        </w:rPr>
        <w:t xml:space="preserve"> Exercise Science</w:t>
      </w:r>
      <w:r w:rsidR="00DE08D5" w:rsidRPr="007637C9">
        <w:rPr>
          <w:rFonts w:ascii="Times New Roman" w:hAnsi="Times New Roman" w:cs="Times New Roman"/>
          <w:sz w:val="24"/>
          <w:szCs w:val="24"/>
        </w:rPr>
        <w:t>s</w:t>
      </w:r>
      <w:r w:rsidRPr="007637C9">
        <w:rPr>
          <w:rFonts w:ascii="Times New Roman" w:hAnsi="Times New Roman" w:cs="Times New Roman"/>
          <w:sz w:val="24"/>
          <w:szCs w:val="24"/>
        </w:rPr>
        <w:t xml:space="preserve"> education.</w:t>
      </w:r>
      <w:r w:rsidR="00A666A0" w:rsidRPr="007637C9">
        <w:rPr>
          <w:rFonts w:ascii="Times New Roman" w:hAnsi="Times New Roman" w:cs="Times New Roman"/>
          <w:sz w:val="24"/>
          <w:szCs w:val="24"/>
        </w:rPr>
        <w:t xml:space="preserve">  </w:t>
      </w:r>
      <w:r w:rsidRPr="007637C9">
        <w:rPr>
          <w:rFonts w:ascii="Times New Roman" w:hAnsi="Times New Roman" w:cs="Times New Roman"/>
          <w:sz w:val="24"/>
          <w:szCs w:val="24"/>
        </w:rPr>
        <w:t>In a s</w:t>
      </w:r>
      <w:r w:rsidR="00E03000" w:rsidRPr="007637C9">
        <w:rPr>
          <w:rFonts w:ascii="Times New Roman" w:hAnsi="Times New Roman" w:cs="Times New Roman"/>
          <w:sz w:val="24"/>
          <w:szCs w:val="24"/>
        </w:rPr>
        <w:t>coping</w:t>
      </w:r>
      <w:r w:rsidRPr="007637C9">
        <w:rPr>
          <w:rFonts w:ascii="Times New Roman" w:hAnsi="Times New Roman" w:cs="Times New Roman"/>
          <w:sz w:val="24"/>
          <w:szCs w:val="24"/>
        </w:rPr>
        <w:t xml:space="preserve"> search of the literature using the databases </w:t>
      </w:r>
      <w:proofErr w:type="spellStart"/>
      <w:r w:rsidRPr="007637C9">
        <w:rPr>
          <w:rFonts w:ascii="Times New Roman" w:hAnsi="Times New Roman" w:cs="Times New Roman"/>
          <w:sz w:val="24"/>
          <w:szCs w:val="24"/>
        </w:rPr>
        <w:t>Pubmed</w:t>
      </w:r>
      <w:proofErr w:type="spellEnd"/>
      <w:r w:rsidRPr="007637C9">
        <w:rPr>
          <w:rFonts w:ascii="Times New Roman" w:hAnsi="Times New Roman" w:cs="Times New Roman"/>
          <w:sz w:val="24"/>
          <w:szCs w:val="24"/>
        </w:rPr>
        <w:t xml:space="preserve">, Google Scholar, ScienceDirect, and </w:t>
      </w:r>
      <w:proofErr w:type="spellStart"/>
      <w:r w:rsidRPr="007637C9">
        <w:rPr>
          <w:rFonts w:ascii="Times New Roman" w:hAnsi="Times New Roman" w:cs="Times New Roman"/>
          <w:sz w:val="24"/>
          <w:szCs w:val="24"/>
        </w:rPr>
        <w:t>SportDiscus</w:t>
      </w:r>
      <w:proofErr w:type="spellEnd"/>
      <w:r w:rsidRPr="007637C9">
        <w:rPr>
          <w:rFonts w:ascii="Times New Roman" w:hAnsi="Times New Roman" w:cs="Times New Roman"/>
          <w:sz w:val="24"/>
          <w:szCs w:val="24"/>
        </w:rPr>
        <w:t>, f</w:t>
      </w:r>
      <w:r w:rsidR="000379B2" w:rsidRPr="007637C9">
        <w:rPr>
          <w:rFonts w:ascii="Times New Roman" w:hAnsi="Times New Roman" w:cs="Times New Roman"/>
          <w:sz w:val="24"/>
          <w:szCs w:val="24"/>
        </w:rPr>
        <w:t>ive</w:t>
      </w:r>
      <w:r w:rsidRPr="007637C9">
        <w:rPr>
          <w:rFonts w:ascii="Times New Roman" w:hAnsi="Times New Roman" w:cs="Times New Roman"/>
          <w:sz w:val="24"/>
          <w:szCs w:val="24"/>
        </w:rPr>
        <w:t xml:space="preserve"> papers were identified that included the key search terms of ‘entrustable professional activities’ or ‘competency-based education’ and ‘sport’ or ‘sport science’ or ‘sport and exercise science’</w:t>
      </w:r>
      <w:r w:rsidR="00797333" w:rsidRPr="007637C9">
        <w:rPr>
          <w:rFonts w:ascii="Times New Roman" w:hAnsi="Times New Roman" w:cs="Times New Roman"/>
          <w:sz w:val="24"/>
          <w:szCs w:val="24"/>
        </w:rPr>
        <w:t xml:space="preserve"> (Collins et al., 2015; Datta et al., 2021; Demers et al., 2006; Fletcher &amp; Maher, 2013; Smith, 2019)</w:t>
      </w:r>
      <w:r w:rsidRPr="007637C9">
        <w:rPr>
          <w:rFonts w:ascii="Times New Roman" w:hAnsi="Times New Roman" w:cs="Times New Roman"/>
          <w:sz w:val="24"/>
          <w:szCs w:val="24"/>
        </w:rPr>
        <w:t xml:space="preserve">. </w:t>
      </w:r>
    </w:p>
    <w:p w14:paraId="37DB40BC" w14:textId="30C04917" w:rsidR="00CD503F" w:rsidRPr="007637C9" w:rsidRDefault="00631C3B"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T</w:t>
      </w:r>
      <w:r w:rsidR="00CD503F" w:rsidRPr="007637C9">
        <w:rPr>
          <w:rFonts w:ascii="Times New Roman" w:hAnsi="Times New Roman" w:cs="Times New Roman"/>
          <w:sz w:val="24"/>
          <w:szCs w:val="24"/>
        </w:rPr>
        <w:t>he paper by Collins et al</w:t>
      </w:r>
      <w:r w:rsidR="000C6C8A" w:rsidRPr="007637C9">
        <w:rPr>
          <w:rFonts w:ascii="Times New Roman" w:hAnsi="Times New Roman" w:cs="Times New Roman"/>
          <w:sz w:val="24"/>
          <w:szCs w:val="24"/>
        </w:rPr>
        <w:t>.</w:t>
      </w:r>
      <w:r w:rsidR="00CD503F" w:rsidRPr="007637C9">
        <w:rPr>
          <w:rFonts w:ascii="Times New Roman" w:hAnsi="Times New Roman" w:cs="Times New Roman"/>
          <w:sz w:val="24"/>
          <w:szCs w:val="24"/>
        </w:rPr>
        <w:t xml:space="preserve"> (2015) concerns competency-based education and ‘sport’ it mainly serves as an argument against competencies as the prime approach for developing scientists and coaches in sports roles. They state that competencies are too simple, vague, or contradictory to adequately account for the complex and varied situations sports support or coaching professionals encounter in their working environments. The authors suggest that we must include expertise-based approaches to support development to overcome these limitations. This </w:t>
      </w:r>
      <w:r w:rsidRPr="007637C9">
        <w:rPr>
          <w:rFonts w:ascii="Times New Roman" w:hAnsi="Times New Roman" w:cs="Times New Roman"/>
          <w:sz w:val="24"/>
          <w:szCs w:val="24"/>
        </w:rPr>
        <w:t>viewpoint</w:t>
      </w:r>
      <w:r w:rsidR="00CD503F" w:rsidRPr="007637C9">
        <w:rPr>
          <w:rFonts w:ascii="Times New Roman" w:hAnsi="Times New Roman" w:cs="Times New Roman"/>
          <w:sz w:val="24"/>
          <w:szCs w:val="24"/>
        </w:rPr>
        <w:t xml:space="preserve"> aligns with the purpose and structure of entrustable professional activities, that competencies are important but understanding the reason for need for competency and application is just as important, and EPA provide this extension in a </w:t>
      </w:r>
      <w:r w:rsidRPr="007637C9">
        <w:rPr>
          <w:rFonts w:ascii="Times New Roman" w:hAnsi="Times New Roman" w:cs="Times New Roman"/>
          <w:sz w:val="24"/>
          <w:szCs w:val="24"/>
        </w:rPr>
        <w:t xml:space="preserve">higher </w:t>
      </w:r>
      <w:r w:rsidRPr="007637C9">
        <w:rPr>
          <w:rFonts w:ascii="Times New Roman" w:hAnsi="Times New Roman" w:cs="Times New Roman"/>
          <w:sz w:val="24"/>
          <w:szCs w:val="24"/>
        </w:rPr>
        <w:lastRenderedPageBreak/>
        <w:t>education</w:t>
      </w:r>
      <w:r w:rsidR="00CD503F" w:rsidRPr="007637C9">
        <w:rPr>
          <w:rFonts w:ascii="Times New Roman" w:hAnsi="Times New Roman" w:cs="Times New Roman"/>
          <w:sz w:val="24"/>
          <w:szCs w:val="24"/>
        </w:rPr>
        <w:t xml:space="preserve"> setting.  They support this through stating the characteristics of expertise defined by Epstein and Hundert (2002) such as ‘knowledge structure’ and ‘reasoning </w:t>
      </w:r>
      <w:proofErr w:type="gramStart"/>
      <w:r w:rsidR="00CD503F" w:rsidRPr="007637C9">
        <w:rPr>
          <w:rFonts w:ascii="Times New Roman" w:hAnsi="Times New Roman" w:cs="Times New Roman"/>
          <w:sz w:val="24"/>
          <w:szCs w:val="24"/>
        </w:rPr>
        <w:t>processes’</w:t>
      </w:r>
      <w:proofErr w:type="gramEnd"/>
      <w:r w:rsidR="000C6C8A" w:rsidRPr="007637C9">
        <w:rPr>
          <w:rFonts w:ascii="Times New Roman" w:hAnsi="Times New Roman" w:cs="Times New Roman"/>
          <w:sz w:val="24"/>
          <w:szCs w:val="24"/>
        </w:rPr>
        <w:t>.</w:t>
      </w:r>
      <w:r w:rsidR="00CD503F" w:rsidRPr="007637C9">
        <w:rPr>
          <w:rFonts w:ascii="Times New Roman" w:hAnsi="Times New Roman" w:cs="Times New Roman"/>
          <w:sz w:val="24"/>
          <w:szCs w:val="24"/>
        </w:rPr>
        <w:t xml:space="preserve"> </w:t>
      </w:r>
      <w:r w:rsidR="000C6C8A" w:rsidRPr="007637C9">
        <w:rPr>
          <w:rFonts w:ascii="Times New Roman" w:hAnsi="Times New Roman" w:cs="Times New Roman"/>
          <w:sz w:val="24"/>
          <w:szCs w:val="24"/>
        </w:rPr>
        <w:t xml:space="preserve">The authors </w:t>
      </w:r>
      <w:r w:rsidR="00CD503F" w:rsidRPr="007637C9">
        <w:rPr>
          <w:rFonts w:ascii="Times New Roman" w:hAnsi="Times New Roman" w:cs="Times New Roman"/>
          <w:sz w:val="24"/>
          <w:szCs w:val="24"/>
        </w:rPr>
        <w:t>highlight how these differ from competencies but fail to acknowledge that achieving expertise requires time and is</w:t>
      </w:r>
      <w:r w:rsidR="000C6C8A" w:rsidRPr="007637C9">
        <w:rPr>
          <w:rFonts w:ascii="Times New Roman" w:hAnsi="Times New Roman" w:cs="Times New Roman"/>
          <w:sz w:val="24"/>
          <w:szCs w:val="24"/>
        </w:rPr>
        <w:t xml:space="preserve"> unlikely that </w:t>
      </w:r>
      <w:r w:rsidR="00CD503F" w:rsidRPr="007637C9">
        <w:rPr>
          <w:rFonts w:ascii="Times New Roman" w:hAnsi="Times New Roman" w:cs="Times New Roman"/>
          <w:sz w:val="24"/>
          <w:szCs w:val="24"/>
        </w:rPr>
        <w:t xml:space="preserve">the trainees will have been exposed to the level of learning for the required </w:t>
      </w:r>
      <w:r w:rsidR="000C6C8A" w:rsidRPr="007637C9">
        <w:rPr>
          <w:rFonts w:ascii="Times New Roman" w:hAnsi="Times New Roman" w:cs="Times New Roman"/>
          <w:sz w:val="24"/>
          <w:szCs w:val="24"/>
        </w:rPr>
        <w:t>duration</w:t>
      </w:r>
      <w:r w:rsidR="00CD503F" w:rsidRPr="007637C9">
        <w:rPr>
          <w:rFonts w:ascii="Times New Roman" w:hAnsi="Times New Roman" w:cs="Times New Roman"/>
          <w:sz w:val="24"/>
          <w:szCs w:val="24"/>
        </w:rPr>
        <w:t>. As such, competencies provide the pillars of academic knowledge and skill that can be developed towards expertise, and entrustable professional activities provide the bridge between the two.</w:t>
      </w:r>
    </w:p>
    <w:p w14:paraId="714F3F77" w14:textId="0A1210A8" w:rsidR="00CD503F" w:rsidRPr="007637C9" w:rsidRDefault="00CD503F"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Fletcher and Maher (2013) present </w:t>
      </w:r>
      <w:r w:rsidR="00B75F18" w:rsidRPr="007637C9">
        <w:rPr>
          <w:rFonts w:ascii="Times New Roman" w:hAnsi="Times New Roman" w:cs="Times New Roman"/>
          <w:sz w:val="24"/>
          <w:szCs w:val="24"/>
        </w:rPr>
        <w:t>a</w:t>
      </w:r>
      <w:r w:rsidRPr="007637C9">
        <w:rPr>
          <w:rFonts w:ascii="Times New Roman" w:hAnsi="Times New Roman" w:cs="Times New Roman"/>
          <w:sz w:val="24"/>
          <w:szCs w:val="24"/>
        </w:rPr>
        <w:t xml:space="preserve"> case for using competencies within Sports Psychology support. They state that competencies are relevant and provide professional development as they enable the discipline and practitioners to be accountable. This is </w:t>
      </w:r>
      <w:r w:rsidR="00B75F18" w:rsidRPr="007637C9">
        <w:rPr>
          <w:rFonts w:ascii="Times New Roman" w:hAnsi="Times New Roman" w:cs="Times New Roman"/>
          <w:sz w:val="24"/>
          <w:szCs w:val="24"/>
        </w:rPr>
        <w:t xml:space="preserve">a </w:t>
      </w:r>
      <w:r w:rsidRPr="007637C9">
        <w:rPr>
          <w:rFonts w:ascii="Times New Roman" w:hAnsi="Times New Roman" w:cs="Times New Roman"/>
          <w:sz w:val="24"/>
          <w:szCs w:val="24"/>
        </w:rPr>
        <w:t>clear benefit of competencies, in that they underpin skill and knowledge, and the authors relate this to the work of Epstein &amp; Hundert (2002) but take a different viewpoint to Collins et al (2015) in that the definitions of Epstein &amp; Hundert (2002) ‘capture</w:t>
      </w:r>
      <w:r w:rsidR="004108F3">
        <w:rPr>
          <w:rFonts w:ascii="Times New Roman" w:hAnsi="Times New Roman" w:cs="Times New Roman"/>
          <w:sz w:val="24"/>
          <w:szCs w:val="24"/>
        </w:rPr>
        <w:t>s</w:t>
      </w:r>
      <w:r w:rsidRPr="007637C9">
        <w:rPr>
          <w:rFonts w:ascii="Times New Roman" w:hAnsi="Times New Roman" w:cs="Times New Roman"/>
          <w:sz w:val="24"/>
          <w:szCs w:val="24"/>
        </w:rPr>
        <w:t xml:space="preserve"> the essence of competenc</w:t>
      </w:r>
      <w:r w:rsidR="004108F3">
        <w:rPr>
          <w:rFonts w:ascii="Times New Roman" w:hAnsi="Times New Roman" w:cs="Times New Roman"/>
          <w:sz w:val="24"/>
          <w:szCs w:val="24"/>
        </w:rPr>
        <w:t>e</w:t>
      </w:r>
      <w:r w:rsidRPr="007637C9">
        <w:rPr>
          <w:rFonts w:ascii="Times New Roman" w:hAnsi="Times New Roman" w:cs="Times New Roman"/>
          <w:sz w:val="24"/>
          <w:szCs w:val="24"/>
        </w:rPr>
        <w:t xml:space="preserve">’ </w:t>
      </w:r>
      <w:r w:rsidR="004108F3">
        <w:rPr>
          <w:rFonts w:ascii="Times New Roman" w:hAnsi="Times New Roman" w:cs="Times New Roman"/>
          <w:sz w:val="24"/>
          <w:szCs w:val="24"/>
        </w:rPr>
        <w:t>(</w:t>
      </w:r>
      <w:r w:rsidR="004108F3" w:rsidRPr="007637C9">
        <w:rPr>
          <w:rFonts w:ascii="Times New Roman" w:hAnsi="Times New Roman" w:cs="Times New Roman"/>
          <w:sz w:val="24"/>
          <w:szCs w:val="24"/>
        </w:rPr>
        <w:t>Fletcher</w:t>
      </w:r>
      <w:r w:rsidR="004108F3">
        <w:rPr>
          <w:rFonts w:ascii="Times New Roman" w:hAnsi="Times New Roman" w:cs="Times New Roman"/>
          <w:sz w:val="24"/>
          <w:szCs w:val="24"/>
        </w:rPr>
        <w:t xml:space="preserve"> &amp;</w:t>
      </w:r>
      <w:r w:rsidR="004108F3" w:rsidRPr="007637C9">
        <w:rPr>
          <w:rFonts w:ascii="Times New Roman" w:hAnsi="Times New Roman" w:cs="Times New Roman"/>
          <w:sz w:val="24"/>
          <w:szCs w:val="24"/>
        </w:rPr>
        <w:t xml:space="preserve"> Maher</w:t>
      </w:r>
      <w:r w:rsidR="004108F3">
        <w:rPr>
          <w:rFonts w:ascii="Times New Roman" w:hAnsi="Times New Roman" w:cs="Times New Roman"/>
          <w:sz w:val="24"/>
          <w:szCs w:val="24"/>
        </w:rPr>
        <w:t xml:space="preserve">, </w:t>
      </w:r>
      <w:r w:rsidR="004108F3" w:rsidRPr="007637C9">
        <w:rPr>
          <w:rFonts w:ascii="Times New Roman" w:hAnsi="Times New Roman" w:cs="Times New Roman"/>
          <w:sz w:val="24"/>
          <w:szCs w:val="24"/>
        </w:rPr>
        <w:t>2013</w:t>
      </w:r>
      <w:r w:rsidR="004108F3">
        <w:rPr>
          <w:rFonts w:ascii="Times New Roman" w:hAnsi="Times New Roman" w:cs="Times New Roman"/>
          <w:sz w:val="24"/>
          <w:szCs w:val="24"/>
        </w:rPr>
        <w:t xml:space="preserve">, </w:t>
      </w:r>
      <w:proofErr w:type="spellStart"/>
      <w:r w:rsidR="004108F3">
        <w:rPr>
          <w:rFonts w:ascii="Times New Roman" w:hAnsi="Times New Roman" w:cs="Times New Roman"/>
          <w:sz w:val="24"/>
          <w:szCs w:val="24"/>
        </w:rPr>
        <w:t>pg</w:t>
      </w:r>
      <w:proofErr w:type="spellEnd"/>
      <w:r w:rsidR="004108F3">
        <w:rPr>
          <w:rFonts w:ascii="Times New Roman" w:hAnsi="Times New Roman" w:cs="Times New Roman"/>
          <w:sz w:val="24"/>
          <w:szCs w:val="24"/>
        </w:rPr>
        <w:t xml:space="preserve"> 267</w:t>
      </w:r>
      <w:r w:rsidR="004108F3" w:rsidRPr="007637C9">
        <w:rPr>
          <w:rFonts w:ascii="Times New Roman" w:hAnsi="Times New Roman" w:cs="Times New Roman"/>
          <w:sz w:val="24"/>
          <w:szCs w:val="24"/>
        </w:rPr>
        <w:t xml:space="preserve">) </w:t>
      </w:r>
      <w:r w:rsidRPr="007637C9">
        <w:rPr>
          <w:rFonts w:ascii="Times New Roman" w:hAnsi="Times New Roman" w:cs="Times New Roman"/>
          <w:sz w:val="24"/>
          <w:szCs w:val="24"/>
        </w:rPr>
        <w:t xml:space="preserve">rather than describing how competencies fail to achieve the complexities highlighted in the definitions.  The paper develops and presents </w:t>
      </w:r>
      <w:r w:rsidR="009C3913">
        <w:rPr>
          <w:rFonts w:ascii="Times New Roman" w:hAnsi="Times New Roman" w:cs="Times New Roman"/>
          <w:sz w:val="24"/>
          <w:szCs w:val="24"/>
        </w:rPr>
        <w:t xml:space="preserve">a </w:t>
      </w:r>
      <w:r w:rsidRPr="007637C9">
        <w:rPr>
          <w:rFonts w:ascii="Times New Roman" w:hAnsi="Times New Roman" w:cs="Times New Roman"/>
          <w:sz w:val="24"/>
          <w:szCs w:val="24"/>
        </w:rPr>
        <w:t xml:space="preserve">conceptual model of competencies framework for Sports Psychology, the Competency Cube, that incorporates two competency domains and stages of development. The Sport Psychology specific framework includes similar components that are described in the medical EPA </w:t>
      </w:r>
      <w:proofErr w:type="gramStart"/>
      <w:r w:rsidRPr="007637C9">
        <w:rPr>
          <w:rFonts w:ascii="Times New Roman" w:hAnsi="Times New Roman" w:cs="Times New Roman"/>
          <w:sz w:val="24"/>
          <w:szCs w:val="24"/>
        </w:rPr>
        <w:t>literature</w:t>
      </w:r>
      <w:proofErr w:type="gramEnd"/>
      <w:r w:rsidRPr="007637C9">
        <w:rPr>
          <w:rFonts w:ascii="Times New Roman" w:hAnsi="Times New Roman" w:cs="Times New Roman"/>
          <w:sz w:val="24"/>
          <w:szCs w:val="24"/>
        </w:rPr>
        <w:t xml:space="preserve"> and it is possible to transfer elements of the framework into a broader Sport </w:t>
      </w:r>
      <w:r w:rsidR="003A663E" w:rsidRPr="007637C9">
        <w:rPr>
          <w:rFonts w:ascii="Times New Roman" w:hAnsi="Times New Roman" w:cs="Times New Roman"/>
          <w:sz w:val="24"/>
          <w:szCs w:val="24"/>
        </w:rPr>
        <w:t>and</w:t>
      </w:r>
      <w:r w:rsidRPr="007637C9">
        <w:rPr>
          <w:rFonts w:ascii="Times New Roman" w:hAnsi="Times New Roman" w:cs="Times New Roman"/>
          <w:sz w:val="24"/>
          <w:szCs w:val="24"/>
        </w:rPr>
        <w:t xml:space="preserve"> Exercise Sciences framework. </w:t>
      </w:r>
    </w:p>
    <w:p w14:paraId="0842A9E7" w14:textId="23A4CF65" w:rsidR="00CD503F" w:rsidRPr="007637C9" w:rsidRDefault="00CD503F"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Competency-based education was employed as the pedagogic rationale behind the development of a Canadian Baccalaureate in Sport Intervention undergraduate programme, as described by Demers et al (2006).  The authors explain how, following on from a consultation period, it was identified that the programme of coach education required </w:t>
      </w:r>
      <w:r w:rsidR="009C3913">
        <w:rPr>
          <w:rFonts w:ascii="Times New Roman" w:hAnsi="Times New Roman" w:cs="Times New Roman"/>
          <w:sz w:val="24"/>
          <w:szCs w:val="24"/>
        </w:rPr>
        <w:t xml:space="preserve">a </w:t>
      </w:r>
      <w:r w:rsidRPr="007637C9">
        <w:rPr>
          <w:rFonts w:ascii="Times New Roman" w:hAnsi="Times New Roman" w:cs="Times New Roman"/>
          <w:sz w:val="24"/>
          <w:szCs w:val="24"/>
        </w:rPr>
        <w:t xml:space="preserve">professional element, that included more rigorous assessment procedures, and crucially, </w:t>
      </w:r>
      <w:r w:rsidRPr="007637C9">
        <w:rPr>
          <w:rFonts w:ascii="Times New Roman" w:hAnsi="Times New Roman" w:cs="Times New Roman"/>
          <w:sz w:val="24"/>
          <w:szCs w:val="24"/>
        </w:rPr>
        <w:lastRenderedPageBreak/>
        <w:t xml:space="preserve">should have a curriculum based on competencies. The paper is very useful in delineating the process of course development with competencies in mind, highlighting design considerations and course element structure, it </w:t>
      </w:r>
      <w:proofErr w:type="gramStart"/>
      <w:r w:rsidRPr="007637C9">
        <w:rPr>
          <w:rFonts w:ascii="Times New Roman" w:hAnsi="Times New Roman" w:cs="Times New Roman"/>
          <w:sz w:val="24"/>
          <w:szCs w:val="24"/>
        </w:rPr>
        <w:t>actually describes</w:t>
      </w:r>
      <w:proofErr w:type="gramEnd"/>
      <w:r w:rsidRPr="007637C9">
        <w:rPr>
          <w:rFonts w:ascii="Times New Roman" w:hAnsi="Times New Roman" w:cs="Times New Roman"/>
          <w:sz w:val="24"/>
          <w:szCs w:val="24"/>
        </w:rPr>
        <w:t xml:space="preserve"> how experiential learning facilitates student development through competency-based education and problem-based learning, rather than define or describe competencies that students will be achieving through the programme or how these align to the professional requirements of coaches and educators.</w:t>
      </w:r>
    </w:p>
    <w:p w14:paraId="6B7CFE1E" w14:textId="77777777" w:rsidR="00E03000" w:rsidRPr="007637C9" w:rsidRDefault="00E03000"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Datta and colleagues (2021) describe their use of a five-step process to develop EPAs, </w:t>
      </w:r>
      <w:proofErr w:type="gramStart"/>
      <w:r w:rsidRPr="007637C9">
        <w:rPr>
          <w:rFonts w:ascii="Times New Roman" w:hAnsi="Times New Roman" w:cs="Times New Roman"/>
          <w:sz w:val="24"/>
          <w:szCs w:val="24"/>
        </w:rPr>
        <w:t>milestones</w:t>
      </w:r>
      <w:proofErr w:type="gramEnd"/>
      <w:r w:rsidRPr="007637C9">
        <w:rPr>
          <w:rFonts w:ascii="Times New Roman" w:hAnsi="Times New Roman" w:cs="Times New Roman"/>
          <w:sz w:val="24"/>
          <w:szCs w:val="24"/>
        </w:rPr>
        <w:t xml:space="preserve"> and portfolio in a sports medicine postgraduate medical speciality (MD) in India. They developed a portfolio approach identifying 114 EPAs and 961 milestones linked to the Indian National Medical Commission (NMC) curriculum guidelines. Initial steps were EPA developments within the faculty, benchmarking the EPAs against the national guidelines, deconstructing these EPAs and milestones using a portfolio, portfolio design followed by final portfolio discussion. Since this portfolio of EPAs was only recently developed and has not been implemented yet, it remains to be seen how effective it is a pedagogic tool.</w:t>
      </w:r>
    </w:p>
    <w:p w14:paraId="44893698" w14:textId="260B518C" w:rsidR="008B72B2" w:rsidRPr="007637C9" w:rsidRDefault="002C2351" w:rsidP="007637C9">
      <w:pPr>
        <w:keepNext/>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An exploratory</w:t>
      </w:r>
      <w:r w:rsidR="00CD503F" w:rsidRPr="007637C9">
        <w:rPr>
          <w:rFonts w:ascii="Times New Roman" w:hAnsi="Times New Roman" w:cs="Times New Roman"/>
          <w:sz w:val="24"/>
          <w:szCs w:val="24"/>
        </w:rPr>
        <w:t xml:space="preserve"> paper by Smith (2019) </w:t>
      </w:r>
      <w:r w:rsidR="00080623" w:rsidRPr="007637C9">
        <w:rPr>
          <w:rFonts w:ascii="Times New Roman" w:hAnsi="Times New Roman" w:cs="Times New Roman"/>
          <w:sz w:val="24"/>
          <w:szCs w:val="24"/>
        </w:rPr>
        <w:t>wa</w:t>
      </w:r>
      <w:r w:rsidR="00CD503F" w:rsidRPr="007637C9">
        <w:rPr>
          <w:rFonts w:ascii="Times New Roman" w:hAnsi="Times New Roman" w:cs="Times New Roman"/>
          <w:sz w:val="24"/>
          <w:szCs w:val="24"/>
        </w:rPr>
        <w:t xml:space="preserve">s the first to apply entrustable professional activities to Sport </w:t>
      </w:r>
      <w:r w:rsidR="003A663E" w:rsidRPr="007637C9">
        <w:rPr>
          <w:rFonts w:ascii="Times New Roman" w:hAnsi="Times New Roman" w:cs="Times New Roman"/>
          <w:sz w:val="24"/>
          <w:szCs w:val="24"/>
        </w:rPr>
        <w:t>and</w:t>
      </w:r>
      <w:r w:rsidR="00CD503F" w:rsidRPr="007637C9">
        <w:rPr>
          <w:rFonts w:ascii="Times New Roman" w:hAnsi="Times New Roman" w:cs="Times New Roman"/>
          <w:sz w:val="24"/>
          <w:szCs w:val="24"/>
        </w:rPr>
        <w:t xml:space="preserve"> Exercise Sciences, specifically at </w:t>
      </w:r>
      <w:proofErr w:type="gramStart"/>
      <w:r w:rsidR="004A098C" w:rsidRPr="007637C9">
        <w:rPr>
          <w:rFonts w:ascii="Times New Roman" w:hAnsi="Times New Roman" w:cs="Times New Roman"/>
          <w:sz w:val="24"/>
          <w:szCs w:val="24"/>
        </w:rPr>
        <w:t>m</w:t>
      </w:r>
      <w:r w:rsidR="00CD503F" w:rsidRPr="007637C9">
        <w:rPr>
          <w:rFonts w:ascii="Times New Roman" w:hAnsi="Times New Roman" w:cs="Times New Roman"/>
          <w:sz w:val="24"/>
          <w:szCs w:val="24"/>
        </w:rPr>
        <w:t>asters</w:t>
      </w:r>
      <w:proofErr w:type="gramEnd"/>
      <w:r w:rsidR="00CD503F" w:rsidRPr="007637C9">
        <w:rPr>
          <w:rFonts w:ascii="Times New Roman" w:hAnsi="Times New Roman" w:cs="Times New Roman"/>
          <w:sz w:val="24"/>
          <w:szCs w:val="24"/>
        </w:rPr>
        <w:t xml:space="preserve"> level (FHEQ Level 7). This is an important distinction as the BASES accreditation is currently </w:t>
      </w:r>
      <w:r w:rsidR="008F1E51" w:rsidRPr="007637C9">
        <w:rPr>
          <w:rFonts w:ascii="Times New Roman" w:hAnsi="Times New Roman" w:cs="Times New Roman"/>
          <w:sz w:val="24"/>
          <w:szCs w:val="24"/>
        </w:rPr>
        <w:t>solely for</w:t>
      </w:r>
      <w:r w:rsidR="00CD503F" w:rsidRPr="007637C9">
        <w:rPr>
          <w:rFonts w:ascii="Times New Roman" w:hAnsi="Times New Roman" w:cs="Times New Roman"/>
          <w:sz w:val="24"/>
          <w:szCs w:val="24"/>
        </w:rPr>
        <w:t xml:space="preserve"> postgraduate level practitioners and applicants </w:t>
      </w:r>
      <w:r w:rsidR="00CD2567" w:rsidRPr="007637C9">
        <w:rPr>
          <w:rFonts w:ascii="Times New Roman" w:hAnsi="Times New Roman" w:cs="Times New Roman"/>
          <w:sz w:val="24"/>
          <w:szCs w:val="24"/>
        </w:rPr>
        <w:t>are required</w:t>
      </w:r>
      <w:r w:rsidR="008B72B2" w:rsidRPr="007637C9">
        <w:rPr>
          <w:rFonts w:ascii="Times New Roman" w:hAnsi="Times New Roman" w:cs="Times New Roman"/>
          <w:sz w:val="24"/>
          <w:szCs w:val="24"/>
        </w:rPr>
        <w:t xml:space="preserve"> to have</w:t>
      </w:r>
      <w:r w:rsidR="00CD503F" w:rsidRPr="007637C9">
        <w:rPr>
          <w:rFonts w:ascii="Times New Roman" w:hAnsi="Times New Roman" w:cs="Times New Roman"/>
          <w:sz w:val="24"/>
          <w:szCs w:val="24"/>
        </w:rPr>
        <w:t xml:space="preserve"> an undergraduate qualification as part of the accreditation process.  In addition, at this level, students will </w:t>
      </w:r>
      <w:r w:rsidR="00C436E4" w:rsidRPr="007637C9">
        <w:rPr>
          <w:rFonts w:ascii="Times New Roman" w:hAnsi="Times New Roman" w:cs="Times New Roman"/>
          <w:sz w:val="24"/>
          <w:szCs w:val="24"/>
        </w:rPr>
        <w:t xml:space="preserve">be expected to </w:t>
      </w:r>
      <w:r w:rsidR="00CD503F" w:rsidRPr="007637C9">
        <w:rPr>
          <w:rFonts w:ascii="Times New Roman" w:hAnsi="Times New Roman" w:cs="Times New Roman"/>
          <w:sz w:val="24"/>
          <w:szCs w:val="24"/>
        </w:rPr>
        <w:t xml:space="preserve">have developed an appropriate skill and competency base that can be considered ready to be assessed for entrustment and responsibility in a professional setting </w:t>
      </w:r>
      <w:r w:rsidR="00C436E4" w:rsidRPr="007637C9">
        <w:rPr>
          <w:rFonts w:ascii="Times New Roman" w:hAnsi="Times New Roman" w:cs="Times New Roman"/>
          <w:sz w:val="24"/>
          <w:szCs w:val="24"/>
        </w:rPr>
        <w:t>such as</w:t>
      </w:r>
      <w:r w:rsidR="00CD503F" w:rsidRPr="007637C9">
        <w:rPr>
          <w:rFonts w:ascii="Times New Roman" w:hAnsi="Times New Roman" w:cs="Times New Roman"/>
          <w:sz w:val="24"/>
          <w:szCs w:val="24"/>
        </w:rPr>
        <w:t xml:space="preserve"> working with clients or athletes/players.  The paper describes a process for identifying and defining EPA within </w:t>
      </w:r>
      <w:r w:rsidR="00CD5376" w:rsidRPr="007637C9">
        <w:rPr>
          <w:rFonts w:ascii="Times New Roman" w:hAnsi="Times New Roman" w:cs="Times New Roman"/>
          <w:sz w:val="24"/>
          <w:szCs w:val="24"/>
        </w:rPr>
        <w:t>S</w:t>
      </w:r>
      <w:r w:rsidR="00CD503F" w:rsidRPr="007637C9">
        <w:rPr>
          <w:rFonts w:ascii="Times New Roman" w:hAnsi="Times New Roman" w:cs="Times New Roman"/>
          <w:sz w:val="24"/>
          <w:szCs w:val="24"/>
        </w:rPr>
        <w:t>port</w:t>
      </w:r>
      <w:r w:rsidR="00CD5376" w:rsidRPr="007637C9">
        <w:rPr>
          <w:rFonts w:ascii="Times New Roman" w:hAnsi="Times New Roman" w:cs="Times New Roman"/>
          <w:sz w:val="24"/>
          <w:szCs w:val="24"/>
        </w:rPr>
        <w:t xml:space="preserve"> </w:t>
      </w:r>
      <w:r w:rsidR="003A663E" w:rsidRPr="007637C9">
        <w:rPr>
          <w:rFonts w:ascii="Times New Roman" w:hAnsi="Times New Roman" w:cs="Times New Roman"/>
          <w:sz w:val="24"/>
          <w:szCs w:val="24"/>
        </w:rPr>
        <w:t>and</w:t>
      </w:r>
      <w:r w:rsidR="00CD5376" w:rsidRPr="007637C9">
        <w:rPr>
          <w:rFonts w:ascii="Times New Roman" w:hAnsi="Times New Roman" w:cs="Times New Roman"/>
          <w:sz w:val="24"/>
          <w:szCs w:val="24"/>
        </w:rPr>
        <w:t xml:space="preserve"> Exercise</w:t>
      </w:r>
      <w:r w:rsidR="00CD503F" w:rsidRPr="007637C9">
        <w:rPr>
          <w:rFonts w:ascii="Times New Roman" w:hAnsi="Times New Roman" w:cs="Times New Roman"/>
          <w:sz w:val="24"/>
          <w:szCs w:val="24"/>
        </w:rPr>
        <w:t xml:space="preserve"> </w:t>
      </w:r>
      <w:r w:rsidR="00CD5376" w:rsidRPr="007637C9">
        <w:rPr>
          <w:rFonts w:ascii="Times New Roman" w:hAnsi="Times New Roman" w:cs="Times New Roman"/>
          <w:sz w:val="24"/>
          <w:szCs w:val="24"/>
        </w:rPr>
        <w:t>S</w:t>
      </w:r>
      <w:r w:rsidR="00CD503F" w:rsidRPr="007637C9">
        <w:rPr>
          <w:rFonts w:ascii="Times New Roman" w:hAnsi="Times New Roman" w:cs="Times New Roman"/>
          <w:sz w:val="24"/>
          <w:szCs w:val="24"/>
        </w:rPr>
        <w:t>cience</w:t>
      </w:r>
      <w:r w:rsidR="00CD5376" w:rsidRPr="007637C9">
        <w:rPr>
          <w:rFonts w:ascii="Times New Roman" w:hAnsi="Times New Roman" w:cs="Times New Roman"/>
          <w:sz w:val="24"/>
          <w:szCs w:val="24"/>
        </w:rPr>
        <w:t>s</w:t>
      </w:r>
      <w:r w:rsidR="00CD503F" w:rsidRPr="007637C9">
        <w:rPr>
          <w:rFonts w:ascii="Times New Roman" w:hAnsi="Times New Roman" w:cs="Times New Roman"/>
          <w:sz w:val="24"/>
          <w:szCs w:val="24"/>
        </w:rPr>
        <w:t xml:space="preserve">, providing three frameworks that provide a stepwise pathway to the creation of a curriculum to incorporates EPAs. A key point that Smith highlights is the need to align the EPA with available national frameworks to ensure they </w:t>
      </w:r>
      <w:r w:rsidR="00CD503F" w:rsidRPr="007637C9">
        <w:rPr>
          <w:rFonts w:ascii="Times New Roman" w:hAnsi="Times New Roman" w:cs="Times New Roman"/>
          <w:sz w:val="24"/>
          <w:szCs w:val="24"/>
        </w:rPr>
        <w:lastRenderedPageBreak/>
        <w:t xml:space="preserve">encompass industry or professional standards. This ensures that the activities are linked to work-based actions (Meyer et al., 2019) and aid development towards expertise in practice (ten Cate, 2013).  </w:t>
      </w:r>
      <w:r w:rsidR="00CD5376" w:rsidRPr="007637C9">
        <w:rPr>
          <w:rFonts w:ascii="Times New Roman" w:hAnsi="Times New Roman" w:cs="Times New Roman"/>
          <w:sz w:val="24"/>
          <w:szCs w:val="24"/>
        </w:rPr>
        <w:t>A</w:t>
      </w:r>
      <w:r w:rsidR="00CD503F" w:rsidRPr="007637C9">
        <w:rPr>
          <w:rFonts w:ascii="Times New Roman" w:hAnsi="Times New Roman" w:cs="Times New Roman"/>
          <w:sz w:val="24"/>
          <w:szCs w:val="24"/>
        </w:rPr>
        <w:t xml:space="preserve">s the initial primer paper on EPA by ten Cate (2005) outlines the principles of the paradigm employed in the research, this paper provides excellent guidance for implementing </w:t>
      </w:r>
      <w:r w:rsidR="003A663E" w:rsidRPr="007637C9">
        <w:rPr>
          <w:rFonts w:ascii="Times New Roman" w:hAnsi="Times New Roman" w:cs="Times New Roman"/>
          <w:sz w:val="24"/>
          <w:szCs w:val="24"/>
        </w:rPr>
        <w:t>EPAs</w:t>
      </w:r>
      <w:r w:rsidR="00CD503F" w:rsidRPr="007637C9">
        <w:rPr>
          <w:rFonts w:ascii="Times New Roman" w:hAnsi="Times New Roman" w:cs="Times New Roman"/>
          <w:sz w:val="24"/>
          <w:szCs w:val="24"/>
        </w:rPr>
        <w:t xml:space="preserve"> within Sport </w:t>
      </w:r>
      <w:r w:rsidR="003A663E" w:rsidRPr="007637C9">
        <w:rPr>
          <w:rFonts w:ascii="Times New Roman" w:hAnsi="Times New Roman" w:cs="Times New Roman"/>
          <w:sz w:val="24"/>
          <w:szCs w:val="24"/>
        </w:rPr>
        <w:t>and</w:t>
      </w:r>
      <w:r w:rsidR="00CD503F" w:rsidRPr="007637C9">
        <w:rPr>
          <w:rFonts w:ascii="Times New Roman" w:hAnsi="Times New Roman" w:cs="Times New Roman"/>
          <w:sz w:val="24"/>
          <w:szCs w:val="24"/>
        </w:rPr>
        <w:t xml:space="preserve"> Exercise Sciences by considering specific issues relevant to the academic field that may not be considered in the usual application across medical education.</w:t>
      </w:r>
    </w:p>
    <w:p w14:paraId="7DB8E149" w14:textId="2B9D0C28" w:rsidR="00574EA0" w:rsidRPr="00CF4068" w:rsidRDefault="00C34497" w:rsidP="00CF4068">
      <w:pPr>
        <w:pStyle w:val="ListParagraph"/>
        <w:keepNext/>
        <w:numPr>
          <w:ilvl w:val="0"/>
          <w:numId w:val="2"/>
        </w:numPr>
        <w:tabs>
          <w:tab w:val="left" w:pos="6840"/>
        </w:tabs>
        <w:spacing w:after="120" w:line="480" w:lineRule="auto"/>
      </w:pPr>
      <w:r w:rsidRPr="00CF4068">
        <w:rPr>
          <w:b/>
          <w:bCs/>
        </w:rPr>
        <w:t>Framework Development</w:t>
      </w:r>
    </w:p>
    <w:p w14:paraId="38A7AD59" w14:textId="725A5BE5" w:rsidR="00574EA0" w:rsidRPr="00CF4068" w:rsidRDefault="00487C56" w:rsidP="00CF4068">
      <w:pPr>
        <w:pStyle w:val="ListParagraph"/>
        <w:numPr>
          <w:ilvl w:val="1"/>
          <w:numId w:val="2"/>
        </w:numPr>
        <w:tabs>
          <w:tab w:val="left" w:pos="6840"/>
        </w:tabs>
        <w:spacing w:after="120" w:line="480" w:lineRule="auto"/>
        <w:rPr>
          <w:b/>
          <w:bCs/>
          <w:i/>
        </w:rPr>
      </w:pPr>
      <w:r>
        <w:rPr>
          <w:b/>
          <w:bCs/>
          <w:i/>
        </w:rPr>
        <w:t xml:space="preserve"> </w:t>
      </w:r>
      <w:r w:rsidR="00574EA0" w:rsidRPr="00CF4068">
        <w:rPr>
          <w:b/>
          <w:bCs/>
          <w:i/>
        </w:rPr>
        <w:t>EPA Framework and Implementation</w:t>
      </w:r>
    </w:p>
    <w:p w14:paraId="3D16F628" w14:textId="0B07026E" w:rsidR="00574EA0" w:rsidRPr="007637C9" w:rsidRDefault="00574EA0"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To develop </w:t>
      </w:r>
      <w:r w:rsidR="002844BC" w:rsidRPr="007637C9">
        <w:rPr>
          <w:rFonts w:ascii="Times New Roman" w:hAnsi="Times New Roman" w:cs="Times New Roman"/>
          <w:sz w:val="24"/>
          <w:szCs w:val="24"/>
        </w:rPr>
        <w:t>an</w:t>
      </w:r>
      <w:r w:rsidRPr="007637C9">
        <w:rPr>
          <w:rFonts w:ascii="Times New Roman" w:hAnsi="Times New Roman" w:cs="Times New Roman"/>
          <w:sz w:val="24"/>
          <w:szCs w:val="24"/>
        </w:rPr>
        <w:t xml:space="preserve"> EPA framework for </w:t>
      </w:r>
      <w:r w:rsidR="00E03000" w:rsidRPr="007637C9">
        <w:rPr>
          <w:rFonts w:ascii="Times New Roman" w:hAnsi="Times New Roman" w:cs="Times New Roman"/>
          <w:sz w:val="24"/>
          <w:szCs w:val="24"/>
        </w:rPr>
        <w:t xml:space="preserve">undergraduate </w:t>
      </w:r>
      <w:r w:rsidRPr="007637C9">
        <w:rPr>
          <w:rFonts w:ascii="Times New Roman" w:hAnsi="Times New Roman" w:cs="Times New Roman"/>
          <w:sz w:val="24"/>
          <w:szCs w:val="24"/>
        </w:rPr>
        <w:t xml:space="preserve">Sport </w:t>
      </w:r>
      <w:r w:rsidR="003A663E" w:rsidRPr="007637C9">
        <w:rPr>
          <w:rFonts w:ascii="Times New Roman" w:hAnsi="Times New Roman" w:cs="Times New Roman"/>
          <w:sz w:val="24"/>
          <w:szCs w:val="24"/>
        </w:rPr>
        <w:t>and</w:t>
      </w:r>
      <w:r w:rsidRPr="007637C9">
        <w:rPr>
          <w:rFonts w:ascii="Times New Roman" w:hAnsi="Times New Roman" w:cs="Times New Roman"/>
          <w:sz w:val="24"/>
          <w:szCs w:val="24"/>
        </w:rPr>
        <w:t xml:space="preserve"> Exercise Sciences, a t</w:t>
      </w:r>
      <w:r w:rsidR="008121BF" w:rsidRPr="007637C9">
        <w:rPr>
          <w:rFonts w:ascii="Times New Roman" w:hAnsi="Times New Roman" w:cs="Times New Roman"/>
          <w:sz w:val="24"/>
          <w:szCs w:val="24"/>
        </w:rPr>
        <w:t>wo</w:t>
      </w:r>
      <w:r w:rsidRPr="007637C9">
        <w:rPr>
          <w:rFonts w:ascii="Times New Roman" w:hAnsi="Times New Roman" w:cs="Times New Roman"/>
          <w:sz w:val="24"/>
          <w:szCs w:val="24"/>
        </w:rPr>
        <w:t xml:space="preserve">-step process was employed. Firstly, the structure </w:t>
      </w:r>
      <w:r w:rsidR="005C38BD" w:rsidRPr="007637C9">
        <w:rPr>
          <w:rFonts w:ascii="Times New Roman" w:hAnsi="Times New Roman" w:cs="Times New Roman"/>
          <w:sz w:val="24"/>
          <w:szCs w:val="24"/>
        </w:rPr>
        <w:t>of an introductory</w:t>
      </w:r>
      <w:r w:rsidR="00487C56">
        <w:rPr>
          <w:rFonts w:ascii="Times New Roman" w:hAnsi="Times New Roman" w:cs="Times New Roman"/>
          <w:sz w:val="24"/>
          <w:szCs w:val="24"/>
        </w:rPr>
        <w:t xml:space="preserve"> (Level 4)</w:t>
      </w:r>
      <w:r w:rsidR="005C38BD" w:rsidRPr="007637C9">
        <w:rPr>
          <w:rFonts w:ascii="Times New Roman" w:hAnsi="Times New Roman" w:cs="Times New Roman"/>
          <w:sz w:val="24"/>
          <w:szCs w:val="24"/>
        </w:rPr>
        <w:t xml:space="preserve"> Sport </w:t>
      </w:r>
      <w:r w:rsidR="004B7B91" w:rsidRPr="007637C9">
        <w:rPr>
          <w:rFonts w:ascii="Times New Roman" w:hAnsi="Times New Roman" w:cs="Times New Roman"/>
          <w:sz w:val="24"/>
          <w:szCs w:val="24"/>
        </w:rPr>
        <w:t>and</w:t>
      </w:r>
      <w:r w:rsidR="005C38BD" w:rsidRPr="007637C9">
        <w:rPr>
          <w:rFonts w:ascii="Times New Roman" w:hAnsi="Times New Roman" w:cs="Times New Roman"/>
          <w:sz w:val="24"/>
          <w:szCs w:val="24"/>
        </w:rPr>
        <w:t xml:space="preserve"> Exercise Sciences module</w:t>
      </w:r>
      <w:r w:rsidRPr="007637C9">
        <w:rPr>
          <w:rFonts w:ascii="Times New Roman" w:hAnsi="Times New Roman" w:cs="Times New Roman"/>
          <w:sz w:val="24"/>
          <w:szCs w:val="24"/>
        </w:rPr>
        <w:t xml:space="preserve"> was considered</w:t>
      </w:r>
      <w:r w:rsidR="002844BC" w:rsidRPr="007637C9">
        <w:rPr>
          <w:rFonts w:ascii="Times New Roman" w:hAnsi="Times New Roman" w:cs="Times New Roman"/>
          <w:sz w:val="24"/>
          <w:szCs w:val="24"/>
        </w:rPr>
        <w:t>.</w:t>
      </w:r>
      <w:r w:rsidRPr="007637C9">
        <w:rPr>
          <w:rFonts w:ascii="Times New Roman" w:hAnsi="Times New Roman" w:cs="Times New Roman"/>
          <w:sz w:val="24"/>
          <w:szCs w:val="24"/>
        </w:rPr>
        <w:t xml:space="preserve">  This </w:t>
      </w:r>
      <w:r w:rsidR="008121BF" w:rsidRPr="007637C9">
        <w:rPr>
          <w:rFonts w:ascii="Times New Roman" w:hAnsi="Times New Roman" w:cs="Times New Roman"/>
          <w:sz w:val="24"/>
          <w:szCs w:val="24"/>
        </w:rPr>
        <w:t xml:space="preserve">was </w:t>
      </w:r>
      <w:r w:rsidRPr="007637C9">
        <w:rPr>
          <w:rFonts w:ascii="Times New Roman" w:hAnsi="Times New Roman" w:cs="Times New Roman"/>
          <w:sz w:val="24"/>
          <w:szCs w:val="24"/>
        </w:rPr>
        <w:t xml:space="preserve">a single semester module that was taught through a 1-hour lecture, a 2-hour practical followed by a 1-hour seminar to discuss or analyse the practical.  The module was structured to </w:t>
      </w:r>
      <w:r w:rsidR="006501B0" w:rsidRPr="007637C9">
        <w:rPr>
          <w:rFonts w:ascii="Times New Roman" w:hAnsi="Times New Roman" w:cs="Times New Roman"/>
          <w:sz w:val="24"/>
          <w:szCs w:val="24"/>
        </w:rPr>
        <w:t xml:space="preserve">introduce </w:t>
      </w:r>
      <w:r w:rsidRPr="007637C9">
        <w:rPr>
          <w:rFonts w:ascii="Times New Roman" w:hAnsi="Times New Roman" w:cs="Times New Roman"/>
          <w:sz w:val="24"/>
          <w:szCs w:val="24"/>
        </w:rPr>
        <w:t>the three key disciplines of physiology, psychology, and biomechanics by demonstration and practice of test protocols. Additional sessions on generic topics including validity and reliability, normative data, and understanding your client were also scheduled</w:t>
      </w:r>
      <w:r w:rsidR="006501B0" w:rsidRPr="007637C9">
        <w:rPr>
          <w:rFonts w:ascii="Times New Roman" w:hAnsi="Times New Roman" w:cs="Times New Roman"/>
          <w:sz w:val="24"/>
          <w:szCs w:val="24"/>
        </w:rPr>
        <w:t xml:space="preserve"> on the module</w:t>
      </w:r>
      <w:r w:rsidRPr="007637C9">
        <w:rPr>
          <w:rFonts w:ascii="Times New Roman" w:hAnsi="Times New Roman" w:cs="Times New Roman"/>
          <w:sz w:val="24"/>
          <w:szCs w:val="24"/>
        </w:rPr>
        <w:t>.</w:t>
      </w:r>
      <w:r w:rsidR="006501B0" w:rsidRPr="007637C9">
        <w:rPr>
          <w:rFonts w:ascii="Times New Roman" w:hAnsi="Times New Roman" w:cs="Times New Roman"/>
          <w:sz w:val="24"/>
          <w:szCs w:val="24"/>
        </w:rPr>
        <w:t xml:space="preserve"> This module was complemented by</w:t>
      </w:r>
      <w:r w:rsidR="00D80198" w:rsidRPr="007637C9">
        <w:rPr>
          <w:rFonts w:ascii="Times New Roman" w:hAnsi="Times New Roman" w:cs="Times New Roman"/>
          <w:sz w:val="24"/>
          <w:szCs w:val="24"/>
        </w:rPr>
        <w:t xml:space="preserve"> separate discipline specific modules.</w:t>
      </w:r>
      <w:r w:rsidRPr="007637C9">
        <w:rPr>
          <w:rFonts w:ascii="Times New Roman" w:hAnsi="Times New Roman" w:cs="Times New Roman"/>
          <w:sz w:val="24"/>
          <w:szCs w:val="24"/>
        </w:rPr>
        <w:t xml:space="preserve">  Students were required to create a portfolio of evidence through description and discussion of each test completed during the weekly classes.  Assessment </w:t>
      </w:r>
      <w:r w:rsidR="00EA51EC" w:rsidRPr="007637C9">
        <w:rPr>
          <w:rFonts w:ascii="Times New Roman" w:hAnsi="Times New Roman" w:cs="Times New Roman"/>
          <w:sz w:val="24"/>
          <w:szCs w:val="24"/>
        </w:rPr>
        <w:t>used</w:t>
      </w:r>
      <w:r w:rsidRPr="007637C9">
        <w:rPr>
          <w:rFonts w:ascii="Times New Roman" w:hAnsi="Times New Roman" w:cs="Times New Roman"/>
          <w:sz w:val="24"/>
          <w:szCs w:val="24"/>
        </w:rPr>
        <w:t xml:space="preserve"> </w:t>
      </w:r>
      <w:r w:rsidR="00EA51EC" w:rsidRPr="007637C9">
        <w:rPr>
          <w:rFonts w:ascii="Times New Roman" w:hAnsi="Times New Roman" w:cs="Times New Roman"/>
          <w:sz w:val="24"/>
          <w:szCs w:val="24"/>
        </w:rPr>
        <w:t xml:space="preserve">a </w:t>
      </w:r>
      <w:r w:rsidR="0024032A" w:rsidRPr="007637C9">
        <w:rPr>
          <w:rFonts w:ascii="Times New Roman" w:hAnsi="Times New Roman" w:cs="Times New Roman"/>
          <w:sz w:val="24"/>
          <w:szCs w:val="24"/>
        </w:rPr>
        <w:t>case-study</w:t>
      </w:r>
      <w:r w:rsidR="00EA51EC" w:rsidRPr="007637C9">
        <w:rPr>
          <w:rFonts w:ascii="Times New Roman" w:hAnsi="Times New Roman" w:cs="Times New Roman"/>
          <w:sz w:val="24"/>
          <w:szCs w:val="24"/>
        </w:rPr>
        <w:t xml:space="preserve"> approach involving a </w:t>
      </w:r>
      <w:r w:rsidRPr="007637C9">
        <w:rPr>
          <w:rFonts w:ascii="Times New Roman" w:hAnsi="Times New Roman" w:cs="Times New Roman"/>
          <w:sz w:val="24"/>
          <w:szCs w:val="24"/>
        </w:rPr>
        <w:t xml:space="preserve">summary report explaining the Sport </w:t>
      </w:r>
      <w:r w:rsidR="004B7B91" w:rsidRPr="007637C9">
        <w:rPr>
          <w:rFonts w:ascii="Times New Roman" w:hAnsi="Times New Roman" w:cs="Times New Roman"/>
          <w:sz w:val="24"/>
          <w:szCs w:val="24"/>
        </w:rPr>
        <w:t>and</w:t>
      </w:r>
      <w:r w:rsidRPr="007637C9">
        <w:rPr>
          <w:rFonts w:ascii="Times New Roman" w:hAnsi="Times New Roman" w:cs="Times New Roman"/>
          <w:sz w:val="24"/>
          <w:szCs w:val="24"/>
        </w:rPr>
        <w:t xml:space="preserve"> Exercise Science support process for one of a selection of athletes or sports teams</w:t>
      </w:r>
      <w:r w:rsidR="00FF38A6" w:rsidRPr="007637C9">
        <w:rPr>
          <w:rFonts w:ascii="Times New Roman" w:hAnsi="Times New Roman" w:cs="Times New Roman"/>
          <w:sz w:val="24"/>
          <w:szCs w:val="24"/>
        </w:rPr>
        <w:t>. This enabled</w:t>
      </w:r>
      <w:r w:rsidRPr="007637C9">
        <w:rPr>
          <w:rFonts w:ascii="Times New Roman" w:hAnsi="Times New Roman" w:cs="Times New Roman"/>
          <w:sz w:val="24"/>
          <w:szCs w:val="24"/>
        </w:rPr>
        <w:t xml:space="preserve"> personalisation of the work to the students’ area of interest, followed by a </w:t>
      </w:r>
      <w:r w:rsidR="005217E4" w:rsidRPr="007637C9">
        <w:rPr>
          <w:rFonts w:ascii="Times New Roman" w:hAnsi="Times New Roman" w:cs="Times New Roman"/>
          <w:sz w:val="24"/>
          <w:szCs w:val="24"/>
        </w:rPr>
        <w:t xml:space="preserve">second assessment which was a </w:t>
      </w:r>
      <w:r w:rsidRPr="007637C9">
        <w:rPr>
          <w:rFonts w:ascii="Times New Roman" w:hAnsi="Times New Roman" w:cs="Times New Roman"/>
          <w:sz w:val="24"/>
          <w:szCs w:val="24"/>
        </w:rPr>
        <w:t xml:space="preserve">group presentation of the support process. </w:t>
      </w:r>
    </w:p>
    <w:p w14:paraId="07597579" w14:textId="7C144824" w:rsidR="00A666A0" w:rsidRDefault="008121BF"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Subsequently, a</w:t>
      </w:r>
      <w:r w:rsidR="00357EAE" w:rsidRPr="007637C9">
        <w:rPr>
          <w:rFonts w:ascii="Times New Roman" w:hAnsi="Times New Roman" w:cs="Times New Roman"/>
          <w:sz w:val="24"/>
          <w:szCs w:val="24"/>
        </w:rPr>
        <w:t>n</w:t>
      </w:r>
      <w:r w:rsidR="00574EA0" w:rsidRPr="007637C9">
        <w:rPr>
          <w:rFonts w:ascii="Times New Roman" w:hAnsi="Times New Roman" w:cs="Times New Roman"/>
          <w:sz w:val="24"/>
          <w:szCs w:val="24"/>
        </w:rPr>
        <w:t xml:space="preserve"> </w:t>
      </w:r>
      <w:r w:rsidR="00792ED4" w:rsidRPr="007637C9">
        <w:rPr>
          <w:rFonts w:ascii="Times New Roman" w:hAnsi="Times New Roman" w:cs="Times New Roman"/>
          <w:sz w:val="24"/>
          <w:szCs w:val="24"/>
        </w:rPr>
        <w:t xml:space="preserve">EPA </w:t>
      </w:r>
      <w:r w:rsidR="00574EA0" w:rsidRPr="007637C9">
        <w:rPr>
          <w:rFonts w:ascii="Times New Roman" w:hAnsi="Times New Roman" w:cs="Times New Roman"/>
          <w:sz w:val="24"/>
          <w:szCs w:val="24"/>
        </w:rPr>
        <w:t xml:space="preserve">framework for use in Sport </w:t>
      </w:r>
      <w:r w:rsidR="004B7B91" w:rsidRPr="007637C9">
        <w:rPr>
          <w:rFonts w:ascii="Times New Roman" w:hAnsi="Times New Roman" w:cs="Times New Roman"/>
          <w:sz w:val="24"/>
          <w:szCs w:val="24"/>
        </w:rPr>
        <w:t>and</w:t>
      </w:r>
      <w:r w:rsidR="00574EA0" w:rsidRPr="007637C9">
        <w:rPr>
          <w:rFonts w:ascii="Times New Roman" w:hAnsi="Times New Roman" w:cs="Times New Roman"/>
          <w:sz w:val="24"/>
          <w:szCs w:val="24"/>
        </w:rPr>
        <w:t xml:space="preserve"> Exercise Sciences was developed.  </w:t>
      </w:r>
      <w:r w:rsidRPr="007637C9">
        <w:rPr>
          <w:rFonts w:ascii="Times New Roman" w:hAnsi="Times New Roman" w:cs="Times New Roman"/>
          <w:sz w:val="24"/>
          <w:szCs w:val="24"/>
        </w:rPr>
        <w:t xml:space="preserve">A </w:t>
      </w:r>
      <w:r w:rsidR="00574EA0" w:rsidRPr="007637C9">
        <w:rPr>
          <w:rFonts w:ascii="Times New Roman" w:hAnsi="Times New Roman" w:cs="Times New Roman"/>
          <w:sz w:val="24"/>
          <w:szCs w:val="24"/>
        </w:rPr>
        <w:t xml:space="preserve">list of desired attributes for a </w:t>
      </w:r>
      <w:r w:rsidR="00075BA7" w:rsidRPr="007637C9">
        <w:rPr>
          <w:rFonts w:ascii="Times New Roman" w:hAnsi="Times New Roman" w:cs="Times New Roman"/>
          <w:sz w:val="24"/>
          <w:szCs w:val="24"/>
        </w:rPr>
        <w:t>s</w:t>
      </w:r>
      <w:r w:rsidR="00574EA0" w:rsidRPr="007637C9">
        <w:rPr>
          <w:rFonts w:ascii="Times New Roman" w:hAnsi="Times New Roman" w:cs="Times New Roman"/>
          <w:sz w:val="24"/>
          <w:szCs w:val="24"/>
        </w:rPr>
        <w:t xml:space="preserve">port </w:t>
      </w:r>
      <w:r w:rsidR="00075BA7" w:rsidRPr="007637C9">
        <w:rPr>
          <w:rFonts w:ascii="Times New Roman" w:hAnsi="Times New Roman" w:cs="Times New Roman"/>
          <w:sz w:val="24"/>
          <w:szCs w:val="24"/>
        </w:rPr>
        <w:t>and</w:t>
      </w:r>
      <w:r w:rsidR="00574EA0" w:rsidRPr="007637C9">
        <w:rPr>
          <w:rFonts w:ascii="Times New Roman" w:hAnsi="Times New Roman" w:cs="Times New Roman"/>
          <w:sz w:val="24"/>
          <w:szCs w:val="24"/>
        </w:rPr>
        <w:t xml:space="preserve"> </w:t>
      </w:r>
      <w:r w:rsidR="00075BA7" w:rsidRPr="007637C9">
        <w:rPr>
          <w:rFonts w:ascii="Times New Roman" w:hAnsi="Times New Roman" w:cs="Times New Roman"/>
          <w:sz w:val="24"/>
          <w:szCs w:val="24"/>
        </w:rPr>
        <w:t>e</w:t>
      </w:r>
      <w:r w:rsidR="00574EA0" w:rsidRPr="007637C9">
        <w:rPr>
          <w:rFonts w:ascii="Times New Roman" w:hAnsi="Times New Roman" w:cs="Times New Roman"/>
          <w:sz w:val="24"/>
          <w:szCs w:val="24"/>
        </w:rPr>
        <w:t xml:space="preserve">xercise </w:t>
      </w:r>
      <w:r w:rsidR="00075BA7" w:rsidRPr="007637C9">
        <w:rPr>
          <w:rFonts w:ascii="Times New Roman" w:hAnsi="Times New Roman" w:cs="Times New Roman"/>
          <w:sz w:val="24"/>
          <w:szCs w:val="24"/>
        </w:rPr>
        <w:t>s</w:t>
      </w:r>
      <w:r w:rsidR="00574EA0" w:rsidRPr="007637C9">
        <w:rPr>
          <w:rFonts w:ascii="Times New Roman" w:hAnsi="Times New Roman" w:cs="Times New Roman"/>
          <w:sz w:val="24"/>
          <w:szCs w:val="24"/>
        </w:rPr>
        <w:t xml:space="preserve">cientist were defined </w:t>
      </w:r>
      <w:r w:rsidR="00904C90" w:rsidRPr="007637C9">
        <w:rPr>
          <w:rFonts w:ascii="Times New Roman" w:hAnsi="Times New Roman" w:cs="Times New Roman"/>
          <w:sz w:val="24"/>
          <w:szCs w:val="24"/>
        </w:rPr>
        <w:t xml:space="preserve">by the </w:t>
      </w:r>
      <w:r w:rsidR="007D3712" w:rsidRPr="007637C9">
        <w:rPr>
          <w:rFonts w:ascii="Times New Roman" w:hAnsi="Times New Roman" w:cs="Times New Roman"/>
          <w:sz w:val="24"/>
          <w:szCs w:val="24"/>
        </w:rPr>
        <w:t xml:space="preserve">lead </w:t>
      </w:r>
      <w:r w:rsidR="00904C90" w:rsidRPr="007637C9">
        <w:rPr>
          <w:rFonts w:ascii="Times New Roman" w:hAnsi="Times New Roman" w:cs="Times New Roman"/>
          <w:sz w:val="24"/>
          <w:szCs w:val="24"/>
        </w:rPr>
        <w:t>author</w:t>
      </w:r>
      <w:r w:rsidR="006843B8" w:rsidRPr="007637C9">
        <w:rPr>
          <w:rFonts w:ascii="Times New Roman" w:hAnsi="Times New Roman" w:cs="Times New Roman"/>
          <w:sz w:val="24"/>
          <w:szCs w:val="24"/>
        </w:rPr>
        <w:t xml:space="preserve">, an </w:t>
      </w:r>
      <w:r w:rsidR="005B19A1" w:rsidRPr="007637C9">
        <w:rPr>
          <w:rFonts w:ascii="Times New Roman" w:hAnsi="Times New Roman" w:cs="Times New Roman"/>
          <w:sz w:val="24"/>
          <w:szCs w:val="24"/>
        </w:rPr>
        <w:lastRenderedPageBreak/>
        <w:t>experienced</w:t>
      </w:r>
      <w:r w:rsidR="006843B8" w:rsidRPr="007637C9">
        <w:rPr>
          <w:rFonts w:ascii="Times New Roman" w:hAnsi="Times New Roman" w:cs="Times New Roman"/>
          <w:sz w:val="24"/>
          <w:szCs w:val="24"/>
        </w:rPr>
        <w:t xml:space="preserve"> </w:t>
      </w:r>
      <w:r w:rsidR="005B19A1" w:rsidRPr="007637C9">
        <w:rPr>
          <w:rFonts w:ascii="Times New Roman" w:hAnsi="Times New Roman" w:cs="Times New Roman"/>
          <w:sz w:val="24"/>
          <w:szCs w:val="24"/>
        </w:rPr>
        <w:t xml:space="preserve">BASES accredited </w:t>
      </w:r>
      <w:r w:rsidR="006843B8" w:rsidRPr="007637C9">
        <w:rPr>
          <w:rFonts w:ascii="Times New Roman" w:hAnsi="Times New Roman" w:cs="Times New Roman"/>
          <w:sz w:val="24"/>
          <w:szCs w:val="24"/>
        </w:rPr>
        <w:t>sport and exe</w:t>
      </w:r>
      <w:r w:rsidR="005B19A1" w:rsidRPr="007637C9">
        <w:rPr>
          <w:rFonts w:ascii="Times New Roman" w:hAnsi="Times New Roman" w:cs="Times New Roman"/>
          <w:sz w:val="24"/>
          <w:szCs w:val="24"/>
        </w:rPr>
        <w:t>rcise scientist</w:t>
      </w:r>
      <w:r w:rsidR="00904C90" w:rsidRPr="007637C9">
        <w:rPr>
          <w:rFonts w:ascii="Times New Roman" w:hAnsi="Times New Roman" w:cs="Times New Roman"/>
          <w:sz w:val="24"/>
          <w:szCs w:val="24"/>
        </w:rPr>
        <w:t xml:space="preserve"> </w:t>
      </w:r>
      <w:r w:rsidR="00574EA0" w:rsidRPr="007637C9">
        <w:rPr>
          <w:rFonts w:ascii="Times New Roman" w:hAnsi="Times New Roman" w:cs="Times New Roman"/>
          <w:sz w:val="24"/>
          <w:szCs w:val="24"/>
        </w:rPr>
        <w:t>and then assigned to entrustable professional activity domain</w:t>
      </w:r>
      <w:r w:rsidR="00904C90" w:rsidRPr="007637C9">
        <w:rPr>
          <w:rFonts w:ascii="Times New Roman" w:hAnsi="Times New Roman" w:cs="Times New Roman"/>
          <w:sz w:val="24"/>
          <w:szCs w:val="24"/>
        </w:rPr>
        <w:t>s</w:t>
      </w:r>
      <w:r w:rsidR="007D3712" w:rsidRPr="007637C9">
        <w:rPr>
          <w:rFonts w:ascii="Times New Roman" w:hAnsi="Times New Roman" w:cs="Times New Roman"/>
          <w:sz w:val="24"/>
          <w:szCs w:val="24"/>
        </w:rPr>
        <w:t>, which were checked for consistency by a second member of the research team</w:t>
      </w:r>
      <w:r w:rsidR="00574EA0" w:rsidRPr="007637C9">
        <w:rPr>
          <w:rFonts w:ascii="Times New Roman" w:hAnsi="Times New Roman" w:cs="Times New Roman"/>
          <w:sz w:val="24"/>
          <w:szCs w:val="24"/>
        </w:rPr>
        <w:t xml:space="preserve"> These domains were </w:t>
      </w:r>
      <w:r w:rsidR="006843B8" w:rsidRPr="007637C9">
        <w:rPr>
          <w:rFonts w:ascii="Times New Roman" w:hAnsi="Times New Roman" w:cs="Times New Roman"/>
          <w:sz w:val="24"/>
          <w:szCs w:val="24"/>
        </w:rPr>
        <w:t>‘</w:t>
      </w:r>
      <w:r w:rsidR="00574EA0" w:rsidRPr="007637C9">
        <w:rPr>
          <w:rFonts w:ascii="Times New Roman" w:hAnsi="Times New Roman" w:cs="Times New Roman"/>
          <w:sz w:val="24"/>
          <w:szCs w:val="24"/>
        </w:rPr>
        <w:t>Effective Implementation</w:t>
      </w:r>
      <w:r w:rsidR="006843B8" w:rsidRPr="007637C9">
        <w:rPr>
          <w:rFonts w:ascii="Times New Roman" w:hAnsi="Times New Roman" w:cs="Times New Roman"/>
          <w:sz w:val="24"/>
          <w:szCs w:val="24"/>
        </w:rPr>
        <w:t>’</w:t>
      </w:r>
      <w:r w:rsidR="00574EA0" w:rsidRPr="007637C9">
        <w:rPr>
          <w:rFonts w:ascii="Times New Roman" w:hAnsi="Times New Roman" w:cs="Times New Roman"/>
          <w:sz w:val="24"/>
          <w:szCs w:val="24"/>
        </w:rPr>
        <w:t xml:space="preserve">, </w:t>
      </w:r>
      <w:r w:rsidR="006843B8" w:rsidRPr="007637C9">
        <w:rPr>
          <w:rFonts w:ascii="Times New Roman" w:hAnsi="Times New Roman" w:cs="Times New Roman"/>
          <w:sz w:val="24"/>
          <w:szCs w:val="24"/>
        </w:rPr>
        <w:t>‘</w:t>
      </w:r>
      <w:r w:rsidR="00574EA0" w:rsidRPr="007637C9">
        <w:rPr>
          <w:rFonts w:ascii="Times New Roman" w:hAnsi="Times New Roman" w:cs="Times New Roman"/>
          <w:sz w:val="24"/>
          <w:szCs w:val="24"/>
        </w:rPr>
        <w:t>Evaluation of Practice</w:t>
      </w:r>
      <w:r w:rsidR="006843B8" w:rsidRPr="007637C9">
        <w:rPr>
          <w:rFonts w:ascii="Times New Roman" w:hAnsi="Times New Roman" w:cs="Times New Roman"/>
          <w:sz w:val="24"/>
          <w:szCs w:val="24"/>
        </w:rPr>
        <w:t>’</w:t>
      </w:r>
      <w:r w:rsidR="00574EA0" w:rsidRPr="007637C9">
        <w:rPr>
          <w:rFonts w:ascii="Times New Roman" w:hAnsi="Times New Roman" w:cs="Times New Roman"/>
          <w:sz w:val="24"/>
          <w:szCs w:val="24"/>
        </w:rPr>
        <w:t xml:space="preserve">, and </w:t>
      </w:r>
      <w:r w:rsidR="006843B8" w:rsidRPr="007637C9">
        <w:rPr>
          <w:rFonts w:ascii="Times New Roman" w:hAnsi="Times New Roman" w:cs="Times New Roman"/>
          <w:sz w:val="24"/>
          <w:szCs w:val="24"/>
        </w:rPr>
        <w:t>‘</w:t>
      </w:r>
      <w:r w:rsidR="00574EA0" w:rsidRPr="007637C9">
        <w:rPr>
          <w:rFonts w:ascii="Times New Roman" w:hAnsi="Times New Roman" w:cs="Times New Roman"/>
          <w:sz w:val="24"/>
          <w:szCs w:val="24"/>
        </w:rPr>
        <w:t>Student Behaviours</w:t>
      </w:r>
      <w:r w:rsidR="006843B8" w:rsidRPr="007637C9">
        <w:rPr>
          <w:rFonts w:ascii="Times New Roman" w:hAnsi="Times New Roman" w:cs="Times New Roman"/>
          <w:sz w:val="24"/>
          <w:szCs w:val="24"/>
        </w:rPr>
        <w:t>’</w:t>
      </w:r>
      <w:r w:rsidR="007D3712" w:rsidRPr="007637C9">
        <w:rPr>
          <w:rFonts w:ascii="Times New Roman" w:hAnsi="Times New Roman" w:cs="Times New Roman"/>
          <w:sz w:val="24"/>
          <w:szCs w:val="24"/>
        </w:rPr>
        <w:t xml:space="preserve"> (See Table 1.)</w:t>
      </w:r>
      <w:r w:rsidR="00574EA0" w:rsidRPr="007637C9">
        <w:rPr>
          <w:rFonts w:ascii="Times New Roman" w:hAnsi="Times New Roman" w:cs="Times New Roman"/>
          <w:sz w:val="24"/>
          <w:szCs w:val="24"/>
        </w:rPr>
        <w:t xml:space="preserve">.  The BASES Accreditation competency profile was downloaded from the BASES website (https://www.bases.org.uk/imgs/accreditation_competency_profile_feb_18504.pdf) and reviewed to identify key words that describe actions required to demonstrate competence. </w:t>
      </w:r>
      <w:r w:rsidR="00075BA7" w:rsidRPr="007637C9">
        <w:rPr>
          <w:rFonts w:ascii="Times New Roman" w:hAnsi="Times New Roman" w:cs="Times New Roman"/>
          <w:sz w:val="24"/>
          <w:szCs w:val="24"/>
        </w:rPr>
        <w:t xml:space="preserve">From the 10 competency categories in the BASES profile, </w:t>
      </w:r>
      <w:r w:rsidR="00574EA0" w:rsidRPr="007637C9">
        <w:rPr>
          <w:rFonts w:ascii="Times New Roman" w:hAnsi="Times New Roman" w:cs="Times New Roman"/>
          <w:sz w:val="24"/>
          <w:szCs w:val="24"/>
        </w:rPr>
        <w:t xml:space="preserve">20 </w:t>
      </w:r>
      <w:r w:rsidR="00E55FF3" w:rsidRPr="007637C9">
        <w:rPr>
          <w:rFonts w:ascii="Times New Roman" w:hAnsi="Times New Roman" w:cs="Times New Roman"/>
          <w:sz w:val="24"/>
          <w:szCs w:val="24"/>
        </w:rPr>
        <w:t>common</w:t>
      </w:r>
      <w:r w:rsidR="00075BA7" w:rsidRPr="007637C9">
        <w:rPr>
          <w:rFonts w:ascii="Times New Roman" w:hAnsi="Times New Roman" w:cs="Times New Roman"/>
          <w:sz w:val="24"/>
          <w:szCs w:val="24"/>
        </w:rPr>
        <w:t xml:space="preserve"> </w:t>
      </w:r>
      <w:r w:rsidR="00574EA0" w:rsidRPr="007637C9">
        <w:rPr>
          <w:rFonts w:ascii="Times New Roman" w:hAnsi="Times New Roman" w:cs="Times New Roman"/>
          <w:sz w:val="24"/>
          <w:szCs w:val="24"/>
        </w:rPr>
        <w:t xml:space="preserve">actions were identified, of which 11 were selected for inclusion in the EPA framework (Table 2). Not all BASES competency actions were included as the accreditation is designed for postgraduate level (FHEQ Level 7) and it would </w:t>
      </w:r>
      <w:r w:rsidR="00782560" w:rsidRPr="007637C9">
        <w:rPr>
          <w:rFonts w:ascii="Times New Roman" w:hAnsi="Times New Roman" w:cs="Times New Roman"/>
          <w:sz w:val="24"/>
          <w:szCs w:val="24"/>
        </w:rPr>
        <w:t xml:space="preserve">not </w:t>
      </w:r>
      <w:r w:rsidR="00574EA0" w:rsidRPr="007637C9">
        <w:rPr>
          <w:rFonts w:ascii="Times New Roman" w:hAnsi="Times New Roman" w:cs="Times New Roman"/>
          <w:sz w:val="24"/>
          <w:szCs w:val="24"/>
        </w:rPr>
        <w:t xml:space="preserve">be possible for students studying at </w:t>
      </w:r>
      <w:r w:rsidRPr="007637C9">
        <w:rPr>
          <w:rFonts w:ascii="Times New Roman" w:hAnsi="Times New Roman" w:cs="Times New Roman"/>
          <w:sz w:val="24"/>
          <w:szCs w:val="24"/>
        </w:rPr>
        <w:t>undergraduate level</w:t>
      </w:r>
      <w:r w:rsidR="00574EA0" w:rsidRPr="007637C9">
        <w:rPr>
          <w:rFonts w:ascii="Times New Roman" w:hAnsi="Times New Roman" w:cs="Times New Roman"/>
          <w:sz w:val="24"/>
          <w:szCs w:val="24"/>
        </w:rPr>
        <w:t xml:space="preserve"> to achieve them. An EPA matrix was then created that ensured that </w:t>
      </w:r>
      <w:r w:rsidRPr="007637C9">
        <w:rPr>
          <w:rFonts w:ascii="Times New Roman" w:hAnsi="Times New Roman" w:cs="Times New Roman"/>
          <w:sz w:val="24"/>
          <w:szCs w:val="24"/>
        </w:rPr>
        <w:t>all the</w:t>
      </w:r>
      <w:r w:rsidR="00574EA0" w:rsidRPr="007637C9">
        <w:rPr>
          <w:rFonts w:ascii="Times New Roman" w:hAnsi="Times New Roman" w:cs="Times New Roman"/>
          <w:sz w:val="24"/>
          <w:szCs w:val="24"/>
        </w:rPr>
        <w:t xml:space="preserve"> BASES competency areas were comprehensively covered by the EPA</w:t>
      </w:r>
      <w:r w:rsidR="00526610" w:rsidRPr="007637C9">
        <w:rPr>
          <w:rFonts w:ascii="Times New Roman" w:hAnsi="Times New Roman" w:cs="Times New Roman"/>
          <w:sz w:val="24"/>
          <w:szCs w:val="24"/>
        </w:rPr>
        <w:t>s selected</w:t>
      </w:r>
      <w:r w:rsidR="00574EA0" w:rsidRPr="007637C9">
        <w:rPr>
          <w:rFonts w:ascii="Times New Roman" w:hAnsi="Times New Roman" w:cs="Times New Roman"/>
          <w:sz w:val="24"/>
          <w:szCs w:val="24"/>
        </w:rPr>
        <w:t xml:space="preserve">. The lowest coverage was the area of </w:t>
      </w:r>
      <w:r w:rsidR="008D2939" w:rsidRPr="007637C9">
        <w:rPr>
          <w:rFonts w:ascii="Times New Roman" w:hAnsi="Times New Roman" w:cs="Times New Roman"/>
          <w:sz w:val="24"/>
          <w:szCs w:val="24"/>
        </w:rPr>
        <w:t>‘</w:t>
      </w:r>
      <w:r w:rsidR="00574EA0" w:rsidRPr="007637C9">
        <w:rPr>
          <w:rFonts w:ascii="Times New Roman" w:hAnsi="Times New Roman" w:cs="Times New Roman"/>
          <w:sz w:val="24"/>
          <w:szCs w:val="24"/>
        </w:rPr>
        <w:t>Application of Knowledge and Skills</w:t>
      </w:r>
      <w:r w:rsidR="0037561F" w:rsidRPr="007637C9">
        <w:rPr>
          <w:rFonts w:ascii="Times New Roman" w:hAnsi="Times New Roman" w:cs="Times New Roman"/>
          <w:sz w:val="24"/>
          <w:szCs w:val="24"/>
        </w:rPr>
        <w:t>’</w:t>
      </w:r>
      <w:r w:rsidR="00574EA0" w:rsidRPr="007637C9">
        <w:rPr>
          <w:rFonts w:ascii="Times New Roman" w:hAnsi="Times New Roman" w:cs="Times New Roman"/>
          <w:sz w:val="24"/>
          <w:szCs w:val="24"/>
        </w:rPr>
        <w:t xml:space="preserve"> that was only included in two actions, with all other BASES competency areas including three to five actions. To enable assessment of students</w:t>
      </w:r>
      <w:r w:rsidR="00234711" w:rsidRPr="007637C9">
        <w:rPr>
          <w:rFonts w:ascii="Times New Roman" w:hAnsi="Times New Roman" w:cs="Times New Roman"/>
          <w:sz w:val="24"/>
          <w:szCs w:val="24"/>
        </w:rPr>
        <w:t>’</w:t>
      </w:r>
      <w:r w:rsidR="00574EA0" w:rsidRPr="007637C9">
        <w:rPr>
          <w:rFonts w:ascii="Times New Roman" w:hAnsi="Times New Roman" w:cs="Times New Roman"/>
          <w:sz w:val="24"/>
          <w:szCs w:val="24"/>
        </w:rPr>
        <w:t xml:space="preserve"> ability to perform the EPA during the</w:t>
      </w:r>
      <w:r w:rsidR="00487C56">
        <w:rPr>
          <w:rFonts w:ascii="Times New Roman" w:hAnsi="Times New Roman" w:cs="Times New Roman"/>
          <w:sz w:val="24"/>
          <w:szCs w:val="24"/>
        </w:rPr>
        <w:t xml:space="preserve"> introductory</w:t>
      </w:r>
      <w:r w:rsidR="00574EA0" w:rsidRPr="007637C9">
        <w:rPr>
          <w:rFonts w:ascii="Times New Roman" w:hAnsi="Times New Roman" w:cs="Times New Roman"/>
          <w:sz w:val="24"/>
          <w:szCs w:val="24"/>
        </w:rPr>
        <w:t xml:space="preserve"> module, a competency assessment recording sheet was created that allowed the identification of the level of supervision on a four</w:t>
      </w:r>
      <w:r w:rsidR="00487C56">
        <w:rPr>
          <w:rFonts w:ascii="Times New Roman" w:hAnsi="Times New Roman" w:cs="Times New Roman"/>
          <w:sz w:val="24"/>
          <w:szCs w:val="24"/>
        </w:rPr>
        <w:t>-</w:t>
      </w:r>
      <w:r w:rsidR="00574EA0" w:rsidRPr="007637C9">
        <w:rPr>
          <w:rFonts w:ascii="Times New Roman" w:hAnsi="Times New Roman" w:cs="Times New Roman"/>
          <w:sz w:val="24"/>
          <w:szCs w:val="24"/>
        </w:rPr>
        <w:t>step scale, where step one assumes no task execution, step two demonstrates task execution under direct supervision, step three allows replication and practice to achieve task execution with minimal supervision, and step four allows unsupervised task execution.  Both the EPA matrix and recording sheet were reviewed by a</w:t>
      </w:r>
      <w:r w:rsidR="00080FE2" w:rsidRPr="007637C9">
        <w:rPr>
          <w:rFonts w:ascii="Times New Roman" w:hAnsi="Times New Roman" w:cs="Times New Roman"/>
          <w:sz w:val="24"/>
          <w:szCs w:val="24"/>
        </w:rPr>
        <w:t>nother experienced sport and exercise scientist</w:t>
      </w:r>
      <w:r w:rsidR="00E55FF3" w:rsidRPr="007637C9">
        <w:rPr>
          <w:rFonts w:ascii="Times New Roman" w:hAnsi="Times New Roman" w:cs="Times New Roman"/>
          <w:sz w:val="24"/>
          <w:szCs w:val="24"/>
        </w:rPr>
        <w:t xml:space="preserve"> </w:t>
      </w:r>
      <w:r w:rsidR="00574EA0" w:rsidRPr="007637C9">
        <w:rPr>
          <w:rFonts w:ascii="Times New Roman" w:hAnsi="Times New Roman" w:cs="Times New Roman"/>
          <w:sz w:val="24"/>
          <w:szCs w:val="24"/>
        </w:rPr>
        <w:t xml:space="preserve">to check the coverage of the actions and the appropriateness of the documents for use within the </w:t>
      </w:r>
      <w:r w:rsidR="00487C56">
        <w:rPr>
          <w:rFonts w:ascii="Times New Roman" w:hAnsi="Times New Roman" w:cs="Times New Roman"/>
          <w:sz w:val="24"/>
          <w:szCs w:val="24"/>
        </w:rPr>
        <w:t>introductory module</w:t>
      </w:r>
      <w:r w:rsidR="00574EA0" w:rsidRPr="007637C9">
        <w:rPr>
          <w:rFonts w:ascii="Times New Roman" w:hAnsi="Times New Roman" w:cs="Times New Roman"/>
          <w:sz w:val="24"/>
          <w:szCs w:val="24"/>
        </w:rPr>
        <w:t>.</w:t>
      </w:r>
    </w:p>
    <w:p w14:paraId="6922489A" w14:textId="77777777" w:rsidR="004E61C1" w:rsidRDefault="004E61C1" w:rsidP="00CF4068">
      <w:pPr>
        <w:spacing w:after="120" w:line="276" w:lineRule="auto"/>
        <w:rPr>
          <w:rFonts w:ascii="Times New Roman" w:hAnsi="Times New Roman" w:cs="Times New Roman"/>
          <w:sz w:val="24"/>
          <w:szCs w:val="24"/>
        </w:rPr>
      </w:pPr>
    </w:p>
    <w:p w14:paraId="5FF42C21" w14:textId="77777777" w:rsidR="004E61C1" w:rsidRDefault="004E61C1" w:rsidP="00CF4068">
      <w:pPr>
        <w:spacing w:after="120" w:line="276" w:lineRule="auto"/>
        <w:rPr>
          <w:rFonts w:ascii="Times New Roman" w:hAnsi="Times New Roman" w:cs="Times New Roman"/>
          <w:sz w:val="24"/>
          <w:szCs w:val="24"/>
        </w:rPr>
      </w:pPr>
    </w:p>
    <w:p w14:paraId="727D634C" w14:textId="63481901" w:rsidR="00CF4068" w:rsidRPr="007637C9" w:rsidRDefault="00CF4068" w:rsidP="00CF4068">
      <w:pPr>
        <w:spacing w:after="120" w:line="276" w:lineRule="auto"/>
        <w:rPr>
          <w:rFonts w:ascii="Times New Roman" w:hAnsi="Times New Roman" w:cs="Times New Roman"/>
          <w:sz w:val="24"/>
          <w:szCs w:val="24"/>
        </w:rPr>
      </w:pPr>
      <w:r w:rsidRPr="007637C9">
        <w:rPr>
          <w:rFonts w:ascii="Times New Roman" w:hAnsi="Times New Roman" w:cs="Times New Roman"/>
          <w:sz w:val="24"/>
          <w:szCs w:val="24"/>
        </w:rPr>
        <w:lastRenderedPageBreak/>
        <w:t>Table 1: Defining the desired Sport and Exercise Scientist attributes and Entrustable Professional Activity domain.</w:t>
      </w:r>
    </w:p>
    <w:tbl>
      <w:tblPr>
        <w:tblStyle w:val="ListTable1Light"/>
        <w:tblW w:w="0" w:type="auto"/>
        <w:tblLook w:val="04A0" w:firstRow="1" w:lastRow="0" w:firstColumn="1" w:lastColumn="0" w:noHBand="0" w:noVBand="1"/>
      </w:tblPr>
      <w:tblGrid>
        <w:gridCol w:w="5812"/>
        <w:gridCol w:w="3204"/>
      </w:tblGrid>
      <w:tr w:rsidR="00CF4068" w:rsidRPr="007637C9" w14:paraId="2FF4123D" w14:textId="77777777" w:rsidTr="0075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tcBorders>
          </w:tcPr>
          <w:p w14:paraId="4F574FB9" w14:textId="77777777" w:rsidR="00CF4068" w:rsidRPr="007637C9" w:rsidRDefault="00CF4068" w:rsidP="007503B5">
            <w:pPr>
              <w:spacing w:after="120" w:line="276" w:lineRule="auto"/>
              <w:rPr>
                <w:rFonts w:ascii="Times New Roman" w:hAnsi="Times New Roman" w:cs="Times New Roman"/>
                <w:sz w:val="24"/>
                <w:szCs w:val="24"/>
              </w:rPr>
            </w:pPr>
            <w:r w:rsidRPr="007637C9">
              <w:rPr>
                <w:rFonts w:ascii="Times New Roman" w:hAnsi="Times New Roman" w:cs="Times New Roman"/>
                <w:sz w:val="24"/>
                <w:szCs w:val="24"/>
              </w:rPr>
              <w:t>Attribute</w:t>
            </w:r>
          </w:p>
        </w:tc>
        <w:tc>
          <w:tcPr>
            <w:tcW w:w="3204" w:type="dxa"/>
            <w:tcBorders>
              <w:top w:val="single" w:sz="4" w:space="0" w:color="auto"/>
            </w:tcBorders>
          </w:tcPr>
          <w:p w14:paraId="639A4273" w14:textId="77777777" w:rsidR="00CF4068" w:rsidRPr="007637C9" w:rsidRDefault="00CF4068" w:rsidP="007503B5">
            <w:pP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EPA Domain</w:t>
            </w:r>
          </w:p>
        </w:tc>
      </w:tr>
      <w:tr w:rsidR="00CF4068" w:rsidRPr="007637C9" w14:paraId="2CCDF0C9"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416C8D8B"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 xml:space="preserve">Knowledge, Skill, Safety, Practice, Technical Ability, Client Handling, Activity Planning </w:t>
            </w:r>
          </w:p>
        </w:tc>
        <w:tc>
          <w:tcPr>
            <w:tcW w:w="3204" w:type="dxa"/>
            <w:shd w:val="clear" w:color="auto" w:fill="auto"/>
          </w:tcPr>
          <w:p w14:paraId="7C7EF019"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Effective Test Implementation</w:t>
            </w:r>
          </w:p>
        </w:tc>
      </w:tr>
      <w:tr w:rsidR="00CF4068" w:rsidRPr="007637C9" w14:paraId="6E8B9E1F" w14:textId="77777777" w:rsidTr="007503B5">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739B12AD"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Analysis, Feedback, Understanding, Reflection, Comparison, Referencing, Data Management</w:t>
            </w:r>
          </w:p>
        </w:tc>
        <w:tc>
          <w:tcPr>
            <w:tcW w:w="3204" w:type="dxa"/>
            <w:shd w:val="clear" w:color="auto" w:fill="auto"/>
          </w:tcPr>
          <w:p w14:paraId="1F2877E0"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Evaluation of Practice</w:t>
            </w:r>
          </w:p>
        </w:tc>
      </w:tr>
      <w:tr w:rsidR="00CF4068" w:rsidRPr="007637C9" w14:paraId="47EB5C97"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bottom w:val="single" w:sz="4" w:space="0" w:color="auto"/>
            </w:tcBorders>
            <w:shd w:val="clear" w:color="auto" w:fill="auto"/>
          </w:tcPr>
          <w:p w14:paraId="7D3DEB9E"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Independence, Professionalism, Autonomy, Development, Care</w:t>
            </w:r>
          </w:p>
        </w:tc>
        <w:tc>
          <w:tcPr>
            <w:tcW w:w="3204" w:type="dxa"/>
            <w:tcBorders>
              <w:bottom w:val="single" w:sz="4" w:space="0" w:color="auto"/>
            </w:tcBorders>
            <w:shd w:val="clear" w:color="auto" w:fill="auto"/>
          </w:tcPr>
          <w:p w14:paraId="4B84FD04"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Student Behaviours</w:t>
            </w:r>
          </w:p>
        </w:tc>
      </w:tr>
    </w:tbl>
    <w:p w14:paraId="1D797195" w14:textId="77777777" w:rsidR="00CF4068" w:rsidRPr="007637C9" w:rsidRDefault="00CF4068" w:rsidP="00CF4068">
      <w:pPr>
        <w:spacing w:after="120" w:line="276" w:lineRule="auto"/>
        <w:rPr>
          <w:rFonts w:ascii="Times New Roman" w:hAnsi="Times New Roman" w:cs="Times New Roman"/>
          <w:sz w:val="24"/>
          <w:szCs w:val="24"/>
        </w:rPr>
      </w:pPr>
    </w:p>
    <w:p w14:paraId="0A287289" w14:textId="77777777" w:rsidR="00CF4068" w:rsidRPr="007637C9" w:rsidRDefault="00CF4068" w:rsidP="00CF4068">
      <w:pPr>
        <w:spacing w:after="120" w:line="276" w:lineRule="auto"/>
        <w:rPr>
          <w:rFonts w:ascii="Times New Roman" w:hAnsi="Times New Roman" w:cs="Times New Roman"/>
          <w:sz w:val="24"/>
          <w:szCs w:val="24"/>
        </w:rPr>
      </w:pPr>
      <w:r w:rsidRPr="007637C9">
        <w:rPr>
          <w:rFonts w:ascii="Times New Roman" w:hAnsi="Times New Roman" w:cs="Times New Roman"/>
          <w:sz w:val="24"/>
          <w:szCs w:val="24"/>
        </w:rPr>
        <w:t>Table 2: BASES competency actions and EPA domain selection</w:t>
      </w:r>
    </w:p>
    <w:tbl>
      <w:tblPr>
        <w:tblStyle w:val="ListTable1Light"/>
        <w:tblW w:w="0" w:type="auto"/>
        <w:tblLook w:val="04A0" w:firstRow="1" w:lastRow="0" w:firstColumn="1" w:lastColumn="0" w:noHBand="0" w:noVBand="1"/>
      </w:tblPr>
      <w:tblGrid>
        <w:gridCol w:w="4508"/>
        <w:gridCol w:w="4508"/>
      </w:tblGrid>
      <w:tr w:rsidR="00CF4068" w:rsidRPr="007637C9" w14:paraId="66A2D431" w14:textId="77777777" w:rsidTr="0075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tcBorders>
            <w:shd w:val="clear" w:color="auto" w:fill="auto"/>
          </w:tcPr>
          <w:p w14:paraId="4CBE9A61" w14:textId="77777777" w:rsidR="00CF4068" w:rsidRPr="007637C9" w:rsidRDefault="00CF4068" w:rsidP="007503B5">
            <w:pPr>
              <w:spacing w:after="120" w:line="276" w:lineRule="auto"/>
              <w:rPr>
                <w:rFonts w:ascii="Times New Roman" w:hAnsi="Times New Roman" w:cs="Times New Roman"/>
                <w:sz w:val="24"/>
                <w:szCs w:val="24"/>
              </w:rPr>
            </w:pPr>
            <w:r w:rsidRPr="007637C9">
              <w:rPr>
                <w:rFonts w:ascii="Times New Roman" w:hAnsi="Times New Roman" w:cs="Times New Roman"/>
                <w:sz w:val="24"/>
                <w:szCs w:val="24"/>
              </w:rPr>
              <w:t>Action Statements</w:t>
            </w:r>
          </w:p>
        </w:tc>
        <w:tc>
          <w:tcPr>
            <w:tcW w:w="4508" w:type="dxa"/>
            <w:tcBorders>
              <w:top w:val="single" w:sz="4" w:space="0" w:color="auto"/>
            </w:tcBorders>
            <w:shd w:val="clear" w:color="auto" w:fill="auto"/>
          </w:tcPr>
          <w:p w14:paraId="47356650" w14:textId="77777777" w:rsidR="00CF4068" w:rsidRPr="007637C9" w:rsidRDefault="00CF4068" w:rsidP="007503B5">
            <w:pPr>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EPA Domain</w:t>
            </w:r>
          </w:p>
        </w:tc>
      </w:tr>
      <w:tr w:rsidR="00CF4068" w:rsidRPr="007637C9" w14:paraId="391B4EE5"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0FB3406F"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Communication</w:t>
            </w:r>
          </w:p>
        </w:tc>
        <w:tc>
          <w:tcPr>
            <w:tcW w:w="4508" w:type="dxa"/>
            <w:shd w:val="clear" w:color="auto" w:fill="auto"/>
          </w:tcPr>
          <w:p w14:paraId="6ABB93A0"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Effective Test Implementation</w:t>
            </w:r>
          </w:p>
        </w:tc>
      </w:tr>
      <w:tr w:rsidR="00CF4068" w:rsidRPr="007637C9" w14:paraId="54A6B05C"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67AE8500"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Implementation</w:t>
            </w:r>
          </w:p>
        </w:tc>
        <w:tc>
          <w:tcPr>
            <w:tcW w:w="4508" w:type="dxa"/>
            <w:shd w:val="clear" w:color="auto" w:fill="auto"/>
          </w:tcPr>
          <w:p w14:paraId="2D313ABA"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Effective Test Implementation</w:t>
            </w:r>
          </w:p>
        </w:tc>
      </w:tr>
      <w:tr w:rsidR="00CF4068" w:rsidRPr="007637C9" w14:paraId="39472374"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19C89B81"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Select and Record</w:t>
            </w:r>
          </w:p>
        </w:tc>
        <w:tc>
          <w:tcPr>
            <w:tcW w:w="4508" w:type="dxa"/>
            <w:shd w:val="clear" w:color="auto" w:fill="auto"/>
          </w:tcPr>
          <w:p w14:paraId="400274C9"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Effective Test Implementation</w:t>
            </w:r>
          </w:p>
        </w:tc>
      </w:tr>
      <w:tr w:rsidR="00CF4068" w:rsidRPr="007637C9" w14:paraId="3EAC3DD1"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7927EA36"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Set Goals</w:t>
            </w:r>
          </w:p>
        </w:tc>
        <w:tc>
          <w:tcPr>
            <w:tcW w:w="4508" w:type="dxa"/>
            <w:shd w:val="clear" w:color="auto" w:fill="auto"/>
          </w:tcPr>
          <w:p w14:paraId="0B5107FD"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Effective Test Implementation</w:t>
            </w:r>
          </w:p>
        </w:tc>
      </w:tr>
      <w:tr w:rsidR="00CF4068" w:rsidRPr="007637C9" w14:paraId="2BF1F79A"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70CC4AA6"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Maintain Health and Safety</w:t>
            </w:r>
          </w:p>
        </w:tc>
        <w:tc>
          <w:tcPr>
            <w:tcW w:w="4508" w:type="dxa"/>
            <w:shd w:val="clear" w:color="auto" w:fill="auto"/>
          </w:tcPr>
          <w:p w14:paraId="6858A655"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Effective Test Implementation</w:t>
            </w:r>
          </w:p>
        </w:tc>
      </w:tr>
      <w:tr w:rsidR="00CF4068" w:rsidRPr="007637C9" w14:paraId="0F5D665F"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7CB497EC"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Analyse and Handle Data</w:t>
            </w:r>
          </w:p>
        </w:tc>
        <w:tc>
          <w:tcPr>
            <w:tcW w:w="4508" w:type="dxa"/>
            <w:shd w:val="clear" w:color="auto" w:fill="auto"/>
          </w:tcPr>
          <w:p w14:paraId="373535CA"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Evaluation of Practice</w:t>
            </w:r>
          </w:p>
        </w:tc>
      </w:tr>
      <w:tr w:rsidR="00CF4068" w:rsidRPr="007637C9" w14:paraId="1F995558"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0D2CF1C7"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Validity/Reliability</w:t>
            </w:r>
          </w:p>
        </w:tc>
        <w:tc>
          <w:tcPr>
            <w:tcW w:w="4508" w:type="dxa"/>
            <w:shd w:val="clear" w:color="auto" w:fill="auto"/>
          </w:tcPr>
          <w:p w14:paraId="104419AA"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Evaluation of Practice</w:t>
            </w:r>
          </w:p>
        </w:tc>
      </w:tr>
      <w:tr w:rsidR="00CF4068" w:rsidRPr="007637C9" w14:paraId="60624A7A"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586BC87D"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Research</w:t>
            </w:r>
          </w:p>
        </w:tc>
        <w:tc>
          <w:tcPr>
            <w:tcW w:w="4508" w:type="dxa"/>
            <w:shd w:val="clear" w:color="auto" w:fill="auto"/>
          </w:tcPr>
          <w:p w14:paraId="39F7541A"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Evaluation of Practice</w:t>
            </w:r>
          </w:p>
        </w:tc>
      </w:tr>
      <w:tr w:rsidR="00CF4068" w:rsidRPr="007637C9" w14:paraId="1A72A77E"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35D00CC7"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Engagement with Client</w:t>
            </w:r>
          </w:p>
        </w:tc>
        <w:tc>
          <w:tcPr>
            <w:tcW w:w="4508" w:type="dxa"/>
            <w:shd w:val="clear" w:color="auto" w:fill="auto"/>
          </w:tcPr>
          <w:p w14:paraId="0986FBB3"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Evaluation of Practice</w:t>
            </w:r>
          </w:p>
        </w:tc>
      </w:tr>
      <w:tr w:rsidR="00CF4068" w:rsidRPr="007637C9" w14:paraId="34CBF934"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3B905FB8"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Diversity and Duty of Care</w:t>
            </w:r>
          </w:p>
        </w:tc>
        <w:tc>
          <w:tcPr>
            <w:tcW w:w="4508" w:type="dxa"/>
            <w:shd w:val="clear" w:color="auto" w:fill="auto"/>
          </w:tcPr>
          <w:p w14:paraId="2CB4F29B"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Student Behaviours</w:t>
            </w:r>
          </w:p>
        </w:tc>
      </w:tr>
      <w:tr w:rsidR="00CF4068" w:rsidRPr="007637C9" w14:paraId="245C34F6"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10241204"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Independence</w:t>
            </w:r>
          </w:p>
        </w:tc>
        <w:tc>
          <w:tcPr>
            <w:tcW w:w="4508" w:type="dxa"/>
            <w:shd w:val="clear" w:color="auto" w:fill="auto"/>
          </w:tcPr>
          <w:p w14:paraId="52D3D9ED"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Student Behaviours</w:t>
            </w:r>
          </w:p>
        </w:tc>
      </w:tr>
      <w:tr w:rsidR="00CF4068" w:rsidRPr="007637C9" w14:paraId="28A22FC4"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00688F5F"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Judgement</w:t>
            </w:r>
          </w:p>
        </w:tc>
        <w:tc>
          <w:tcPr>
            <w:tcW w:w="4508" w:type="dxa"/>
            <w:shd w:val="clear" w:color="auto" w:fill="auto"/>
          </w:tcPr>
          <w:p w14:paraId="4650E65C"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Student Behaviours</w:t>
            </w:r>
          </w:p>
        </w:tc>
      </w:tr>
      <w:tr w:rsidR="00CF4068" w:rsidRPr="007637C9" w14:paraId="08E6B0F0"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710F39FB"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Interpret</w:t>
            </w:r>
          </w:p>
        </w:tc>
        <w:tc>
          <w:tcPr>
            <w:tcW w:w="4508" w:type="dxa"/>
            <w:shd w:val="clear" w:color="auto" w:fill="auto"/>
          </w:tcPr>
          <w:p w14:paraId="703052D5"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(Not included due to levelness)</w:t>
            </w:r>
          </w:p>
        </w:tc>
      </w:tr>
      <w:tr w:rsidR="00CF4068" w:rsidRPr="007637C9" w14:paraId="08252CD5"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151EAEE6"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Adapt</w:t>
            </w:r>
          </w:p>
        </w:tc>
        <w:tc>
          <w:tcPr>
            <w:tcW w:w="4508" w:type="dxa"/>
            <w:shd w:val="clear" w:color="auto" w:fill="auto"/>
          </w:tcPr>
          <w:p w14:paraId="55285A83"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(Not included due to levelness)</w:t>
            </w:r>
          </w:p>
        </w:tc>
      </w:tr>
      <w:tr w:rsidR="00CF4068" w:rsidRPr="007637C9" w14:paraId="09AC8D21"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1535A7AC"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bCs w:val="0"/>
                <w:sz w:val="24"/>
                <w:szCs w:val="24"/>
              </w:rPr>
              <w:t>Monitor</w:t>
            </w:r>
          </w:p>
        </w:tc>
        <w:tc>
          <w:tcPr>
            <w:tcW w:w="4508" w:type="dxa"/>
            <w:shd w:val="clear" w:color="auto" w:fill="auto"/>
          </w:tcPr>
          <w:p w14:paraId="466E1F1E"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(Not included due to levelness)</w:t>
            </w:r>
          </w:p>
        </w:tc>
      </w:tr>
      <w:tr w:rsidR="00CF4068" w:rsidRPr="007637C9" w14:paraId="15DDD6C1"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3BAEEC8D"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sz w:val="24"/>
                <w:szCs w:val="24"/>
              </w:rPr>
              <w:t>Quality Control and Assurance</w:t>
            </w:r>
          </w:p>
        </w:tc>
        <w:tc>
          <w:tcPr>
            <w:tcW w:w="4508" w:type="dxa"/>
            <w:shd w:val="clear" w:color="auto" w:fill="auto"/>
          </w:tcPr>
          <w:p w14:paraId="40B5B497"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(Not included due to levelness)</w:t>
            </w:r>
          </w:p>
        </w:tc>
      </w:tr>
      <w:tr w:rsidR="00CF4068" w:rsidRPr="007637C9" w14:paraId="209A6FA9"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7A84720B"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bCs w:val="0"/>
                <w:sz w:val="24"/>
                <w:szCs w:val="24"/>
              </w:rPr>
              <w:t>Delivery</w:t>
            </w:r>
          </w:p>
        </w:tc>
        <w:tc>
          <w:tcPr>
            <w:tcW w:w="4508" w:type="dxa"/>
            <w:shd w:val="clear" w:color="auto" w:fill="auto"/>
          </w:tcPr>
          <w:p w14:paraId="4617F839"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(Not included due to levelness)</w:t>
            </w:r>
          </w:p>
        </w:tc>
      </w:tr>
      <w:tr w:rsidR="00CF4068" w:rsidRPr="007637C9" w14:paraId="2A9D2776"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5FBA6EC6"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bCs w:val="0"/>
                <w:sz w:val="24"/>
                <w:szCs w:val="24"/>
              </w:rPr>
              <w:t>Use of Technology</w:t>
            </w:r>
          </w:p>
        </w:tc>
        <w:tc>
          <w:tcPr>
            <w:tcW w:w="4508" w:type="dxa"/>
            <w:shd w:val="clear" w:color="auto" w:fill="auto"/>
          </w:tcPr>
          <w:p w14:paraId="0E388D9B" w14:textId="77777777" w:rsidR="00CF4068" w:rsidRPr="007637C9" w:rsidRDefault="00CF4068" w:rsidP="007503B5">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(Not included due to levelness)</w:t>
            </w:r>
          </w:p>
        </w:tc>
      </w:tr>
      <w:tr w:rsidR="00CF4068" w:rsidRPr="007637C9" w14:paraId="72E5D759"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shd w:val="clear" w:color="auto" w:fill="auto"/>
          </w:tcPr>
          <w:p w14:paraId="69FF9D86" w14:textId="77777777" w:rsidR="00CF4068" w:rsidRPr="007637C9" w:rsidRDefault="00CF4068" w:rsidP="007503B5">
            <w:pPr>
              <w:spacing w:after="120" w:line="276" w:lineRule="auto"/>
              <w:rPr>
                <w:rFonts w:ascii="Times New Roman" w:hAnsi="Times New Roman" w:cs="Times New Roman"/>
                <w:b w:val="0"/>
                <w:sz w:val="24"/>
                <w:szCs w:val="24"/>
              </w:rPr>
            </w:pPr>
            <w:r w:rsidRPr="007637C9">
              <w:rPr>
                <w:rFonts w:ascii="Times New Roman" w:hAnsi="Times New Roman" w:cs="Times New Roman"/>
                <w:b w:val="0"/>
                <w:bCs w:val="0"/>
                <w:sz w:val="24"/>
                <w:szCs w:val="24"/>
              </w:rPr>
              <w:t>Diagnose</w:t>
            </w:r>
          </w:p>
        </w:tc>
        <w:tc>
          <w:tcPr>
            <w:tcW w:w="4508" w:type="dxa"/>
            <w:tcBorders>
              <w:bottom w:val="single" w:sz="4" w:space="0" w:color="auto"/>
            </w:tcBorders>
            <w:shd w:val="clear" w:color="auto" w:fill="auto"/>
          </w:tcPr>
          <w:p w14:paraId="0E4B1EB6" w14:textId="77777777" w:rsidR="00CF4068" w:rsidRPr="007637C9" w:rsidRDefault="00CF4068" w:rsidP="007503B5">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(Not included due to levelness)</w:t>
            </w:r>
          </w:p>
        </w:tc>
      </w:tr>
    </w:tbl>
    <w:p w14:paraId="6EA0600A" w14:textId="5707302D" w:rsidR="007D0A52" w:rsidRPr="007D0A52" w:rsidRDefault="007D0A52" w:rsidP="00CF4068">
      <w:pPr>
        <w:tabs>
          <w:tab w:val="left" w:pos="6840"/>
        </w:tabs>
        <w:spacing w:after="120" w:line="480" w:lineRule="auto"/>
        <w:rPr>
          <w:rFonts w:ascii="Times New Roman" w:hAnsi="Times New Roman" w:cs="Times New Roman"/>
          <w:b/>
          <w:bCs/>
          <w:sz w:val="24"/>
          <w:szCs w:val="24"/>
        </w:rPr>
      </w:pPr>
    </w:p>
    <w:p w14:paraId="010DFE9A" w14:textId="643D35B5" w:rsidR="006B466B" w:rsidRPr="00CF4068" w:rsidRDefault="006B466B" w:rsidP="00CF4068">
      <w:pPr>
        <w:pStyle w:val="ListParagraph"/>
        <w:numPr>
          <w:ilvl w:val="1"/>
          <w:numId w:val="2"/>
        </w:numPr>
        <w:tabs>
          <w:tab w:val="left" w:pos="6840"/>
        </w:tabs>
        <w:spacing w:after="120" w:line="480" w:lineRule="auto"/>
        <w:rPr>
          <w:b/>
          <w:bCs/>
          <w:i/>
        </w:rPr>
      </w:pPr>
      <w:r w:rsidRPr="00CF4068">
        <w:rPr>
          <w:b/>
          <w:bCs/>
          <w:i/>
        </w:rPr>
        <w:lastRenderedPageBreak/>
        <w:t>Framework Evaluation</w:t>
      </w:r>
    </w:p>
    <w:p w14:paraId="595CC504" w14:textId="5ECEA294" w:rsidR="00190054" w:rsidRPr="007637C9" w:rsidRDefault="006B466B"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The EPA framework was evaluated by asking students to rank the importance of the competency </w:t>
      </w:r>
      <w:r w:rsidR="006C56C0" w:rsidRPr="007637C9">
        <w:rPr>
          <w:rFonts w:ascii="Times New Roman" w:hAnsi="Times New Roman" w:cs="Times New Roman"/>
          <w:sz w:val="24"/>
          <w:szCs w:val="24"/>
        </w:rPr>
        <w:t xml:space="preserve">action </w:t>
      </w:r>
      <w:r w:rsidRPr="007637C9">
        <w:rPr>
          <w:rFonts w:ascii="Times New Roman" w:hAnsi="Times New Roman" w:cs="Times New Roman"/>
          <w:sz w:val="24"/>
          <w:szCs w:val="24"/>
        </w:rPr>
        <w:t xml:space="preserve">statements </w:t>
      </w:r>
      <w:r w:rsidR="00190054" w:rsidRPr="007637C9">
        <w:rPr>
          <w:rFonts w:ascii="Times New Roman" w:hAnsi="Times New Roman" w:cs="Times New Roman"/>
          <w:sz w:val="24"/>
          <w:szCs w:val="24"/>
        </w:rPr>
        <w:t xml:space="preserve">where 1 indicated the most important statement and 12 indicating the least important </w:t>
      </w:r>
      <w:r w:rsidRPr="007637C9">
        <w:rPr>
          <w:rFonts w:ascii="Times New Roman" w:hAnsi="Times New Roman" w:cs="Times New Roman"/>
          <w:sz w:val="24"/>
          <w:szCs w:val="24"/>
        </w:rPr>
        <w:t>to identify students</w:t>
      </w:r>
      <w:r w:rsidR="00C4147D"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C07B1F" w:rsidRPr="007637C9">
        <w:rPr>
          <w:rFonts w:ascii="Times New Roman" w:hAnsi="Times New Roman" w:cs="Times New Roman"/>
          <w:sz w:val="24"/>
          <w:szCs w:val="24"/>
        </w:rPr>
        <w:t xml:space="preserve">perception of the importance </w:t>
      </w:r>
      <w:r w:rsidR="00C4147D" w:rsidRPr="007637C9">
        <w:rPr>
          <w:rFonts w:ascii="Times New Roman" w:hAnsi="Times New Roman" w:cs="Times New Roman"/>
          <w:sz w:val="24"/>
          <w:szCs w:val="24"/>
        </w:rPr>
        <w:t xml:space="preserve">of these attributes </w:t>
      </w:r>
      <w:r w:rsidR="006C56C0" w:rsidRPr="007637C9">
        <w:rPr>
          <w:rFonts w:ascii="Times New Roman" w:hAnsi="Times New Roman" w:cs="Times New Roman"/>
          <w:sz w:val="24"/>
          <w:szCs w:val="24"/>
        </w:rPr>
        <w:t xml:space="preserve">to </w:t>
      </w:r>
      <w:r w:rsidR="00F751B3" w:rsidRPr="007637C9">
        <w:rPr>
          <w:rFonts w:ascii="Times New Roman" w:hAnsi="Times New Roman" w:cs="Times New Roman"/>
          <w:sz w:val="24"/>
          <w:szCs w:val="24"/>
        </w:rPr>
        <w:t>inform future development of the framework</w:t>
      </w:r>
      <w:r w:rsidRPr="007637C9">
        <w:rPr>
          <w:rFonts w:ascii="Times New Roman" w:hAnsi="Times New Roman" w:cs="Times New Roman"/>
          <w:sz w:val="24"/>
          <w:szCs w:val="24"/>
        </w:rPr>
        <w:t>.</w:t>
      </w:r>
      <w:r w:rsidR="00190054" w:rsidRPr="007637C9">
        <w:rPr>
          <w:rFonts w:ascii="Times New Roman" w:hAnsi="Times New Roman" w:cs="Times New Roman"/>
          <w:sz w:val="24"/>
          <w:szCs w:val="24"/>
        </w:rPr>
        <w:t xml:space="preserve"> Students were invited to complete a paper cop</w:t>
      </w:r>
      <w:r w:rsidR="009230A3">
        <w:rPr>
          <w:rFonts w:ascii="Times New Roman" w:hAnsi="Times New Roman" w:cs="Times New Roman"/>
          <w:sz w:val="24"/>
          <w:szCs w:val="24"/>
        </w:rPr>
        <w:t>y</w:t>
      </w:r>
      <w:r w:rsidR="00190054" w:rsidRPr="007637C9">
        <w:rPr>
          <w:rFonts w:ascii="Times New Roman" w:hAnsi="Times New Roman" w:cs="Times New Roman"/>
          <w:sz w:val="24"/>
          <w:szCs w:val="24"/>
        </w:rPr>
        <w:t xml:space="preserve"> of a questionnaire ranking the statements in week 13 of the module schedule and returned to a box outside the classroom. A follow-up reminder message was sent one week later to improve the response rate through the University VLE system (Canvas).</w:t>
      </w:r>
    </w:p>
    <w:p w14:paraId="4BA3BFEE" w14:textId="6AB2A310" w:rsidR="00CD5BDC" w:rsidRPr="007637C9" w:rsidRDefault="006B466B"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Ethical approval was obtained from the University </w:t>
      </w:r>
      <w:r w:rsidR="00754018">
        <w:rPr>
          <w:rFonts w:ascii="Times New Roman" w:hAnsi="Times New Roman" w:cs="Times New Roman"/>
          <w:sz w:val="24"/>
          <w:szCs w:val="24"/>
        </w:rPr>
        <w:t>Institutional</w:t>
      </w:r>
      <w:r w:rsidRPr="007637C9">
        <w:rPr>
          <w:rFonts w:ascii="Times New Roman" w:hAnsi="Times New Roman" w:cs="Times New Roman"/>
          <w:sz w:val="24"/>
          <w:szCs w:val="24"/>
        </w:rPr>
        <w:t xml:space="preserve"> </w:t>
      </w:r>
      <w:r w:rsidR="00B135DC" w:rsidRPr="007637C9">
        <w:rPr>
          <w:rFonts w:ascii="Times New Roman" w:hAnsi="Times New Roman" w:cs="Times New Roman"/>
          <w:sz w:val="24"/>
          <w:szCs w:val="24"/>
        </w:rPr>
        <w:t>Research E</w:t>
      </w:r>
      <w:r w:rsidRPr="007637C9">
        <w:rPr>
          <w:rFonts w:ascii="Times New Roman" w:hAnsi="Times New Roman" w:cs="Times New Roman"/>
          <w:sz w:val="24"/>
          <w:szCs w:val="24"/>
        </w:rPr>
        <w:t xml:space="preserve">thics </w:t>
      </w:r>
      <w:r w:rsidR="00B135DC" w:rsidRPr="007637C9">
        <w:rPr>
          <w:rFonts w:ascii="Times New Roman" w:hAnsi="Times New Roman" w:cs="Times New Roman"/>
          <w:sz w:val="24"/>
          <w:szCs w:val="24"/>
        </w:rPr>
        <w:t>Group</w:t>
      </w:r>
      <w:r w:rsidRPr="007637C9">
        <w:rPr>
          <w:rFonts w:ascii="Times New Roman" w:hAnsi="Times New Roman" w:cs="Times New Roman"/>
          <w:sz w:val="24"/>
          <w:szCs w:val="24"/>
        </w:rPr>
        <w:t xml:space="preserve"> (Ref No. 005850).  This </w:t>
      </w:r>
      <w:r w:rsidR="00B45251" w:rsidRPr="007637C9">
        <w:rPr>
          <w:rFonts w:ascii="Times New Roman" w:hAnsi="Times New Roman" w:cs="Times New Roman"/>
          <w:sz w:val="24"/>
          <w:szCs w:val="24"/>
        </w:rPr>
        <w:t>wa</w:t>
      </w:r>
      <w:r w:rsidRPr="007637C9">
        <w:rPr>
          <w:rFonts w:ascii="Times New Roman" w:hAnsi="Times New Roman" w:cs="Times New Roman"/>
          <w:sz w:val="24"/>
          <w:szCs w:val="24"/>
        </w:rPr>
        <w:t xml:space="preserve">s required as the participants were providing information beyond </w:t>
      </w:r>
      <w:r w:rsidR="00B45251" w:rsidRPr="007637C9">
        <w:rPr>
          <w:rFonts w:ascii="Times New Roman" w:hAnsi="Times New Roman" w:cs="Times New Roman"/>
          <w:sz w:val="24"/>
          <w:szCs w:val="24"/>
        </w:rPr>
        <w:t xml:space="preserve">what was </w:t>
      </w:r>
      <w:r w:rsidRPr="007637C9">
        <w:rPr>
          <w:rFonts w:ascii="Times New Roman" w:hAnsi="Times New Roman" w:cs="Times New Roman"/>
          <w:sz w:val="24"/>
          <w:szCs w:val="24"/>
        </w:rPr>
        <w:t>normal</w:t>
      </w:r>
      <w:r w:rsidR="00B45251" w:rsidRPr="007637C9">
        <w:rPr>
          <w:rFonts w:ascii="Times New Roman" w:hAnsi="Times New Roman" w:cs="Times New Roman"/>
          <w:sz w:val="24"/>
          <w:szCs w:val="24"/>
        </w:rPr>
        <w:t>ly</w:t>
      </w:r>
      <w:r w:rsidRPr="007637C9">
        <w:rPr>
          <w:rFonts w:ascii="Times New Roman" w:hAnsi="Times New Roman" w:cs="Times New Roman"/>
          <w:sz w:val="24"/>
          <w:szCs w:val="24"/>
        </w:rPr>
        <w:t xml:space="preserve"> required for the module</w:t>
      </w:r>
      <w:r w:rsidR="00B45251" w:rsidRPr="007637C9">
        <w:rPr>
          <w:rFonts w:ascii="Times New Roman" w:hAnsi="Times New Roman" w:cs="Times New Roman"/>
          <w:sz w:val="24"/>
          <w:szCs w:val="24"/>
        </w:rPr>
        <w:t>, and due to the student-teacher relationship, were providing information on what may be construed as questioning the module leader’s teaching style and ability and students may not be comfortable in doing this</w:t>
      </w:r>
      <w:r w:rsidRPr="007637C9">
        <w:rPr>
          <w:rFonts w:ascii="Times New Roman" w:hAnsi="Times New Roman" w:cs="Times New Roman"/>
          <w:sz w:val="24"/>
          <w:szCs w:val="24"/>
        </w:rPr>
        <w:t>.</w:t>
      </w:r>
      <w:r w:rsidR="00B45251" w:rsidRPr="007637C9">
        <w:rPr>
          <w:rFonts w:ascii="Times New Roman" w:hAnsi="Times New Roman" w:cs="Times New Roman"/>
          <w:sz w:val="24"/>
          <w:szCs w:val="24"/>
        </w:rPr>
        <w:t xml:space="preserve">  To minimise the risk of response bias this may have created and to ensure that students did feel coerced in to responding, the students were informed that their decision would not impact on their mark for the assessment or module in any way</w:t>
      </w:r>
      <w:r w:rsidRPr="007637C9">
        <w:rPr>
          <w:rFonts w:ascii="Times New Roman" w:hAnsi="Times New Roman" w:cs="Times New Roman"/>
          <w:sz w:val="24"/>
          <w:szCs w:val="24"/>
        </w:rPr>
        <w:t xml:space="preserve"> and </w:t>
      </w:r>
      <w:r w:rsidR="00B45251" w:rsidRPr="007637C9">
        <w:rPr>
          <w:rFonts w:ascii="Times New Roman" w:hAnsi="Times New Roman" w:cs="Times New Roman"/>
          <w:sz w:val="24"/>
          <w:szCs w:val="24"/>
        </w:rPr>
        <w:t xml:space="preserve">all </w:t>
      </w:r>
      <w:r w:rsidRPr="007637C9">
        <w:rPr>
          <w:rFonts w:ascii="Times New Roman" w:hAnsi="Times New Roman" w:cs="Times New Roman"/>
          <w:sz w:val="24"/>
          <w:szCs w:val="24"/>
        </w:rPr>
        <w:t>had the right to refuse to participate or withdraw at any stage</w:t>
      </w:r>
      <w:r w:rsidR="00B45251" w:rsidRPr="007637C9">
        <w:rPr>
          <w:rFonts w:ascii="Times New Roman" w:hAnsi="Times New Roman" w:cs="Times New Roman"/>
          <w:sz w:val="24"/>
          <w:szCs w:val="24"/>
        </w:rPr>
        <w:t xml:space="preserve"> without any consequence</w:t>
      </w:r>
      <w:r w:rsidRPr="007637C9">
        <w:rPr>
          <w:rFonts w:ascii="Times New Roman" w:hAnsi="Times New Roman" w:cs="Times New Roman"/>
          <w:sz w:val="24"/>
          <w:szCs w:val="24"/>
        </w:rPr>
        <w:t xml:space="preserve">.  </w:t>
      </w:r>
      <w:r w:rsidR="00B45251" w:rsidRPr="007637C9">
        <w:rPr>
          <w:rFonts w:ascii="Times New Roman" w:hAnsi="Times New Roman" w:cs="Times New Roman"/>
          <w:sz w:val="24"/>
          <w:szCs w:val="24"/>
        </w:rPr>
        <w:t>Written informed consent was obtained from all students who agreed to participate.  All students in the class (n = 45) were invited to participate with a</w:t>
      </w:r>
      <w:r w:rsidR="00190054" w:rsidRPr="007637C9">
        <w:rPr>
          <w:rFonts w:ascii="Times New Roman" w:hAnsi="Times New Roman" w:cs="Times New Roman"/>
          <w:sz w:val="24"/>
          <w:szCs w:val="24"/>
        </w:rPr>
        <w:t xml:space="preserve"> total 29 students comp</w:t>
      </w:r>
      <w:r w:rsidR="00B45251" w:rsidRPr="007637C9">
        <w:rPr>
          <w:rFonts w:ascii="Times New Roman" w:hAnsi="Times New Roman" w:cs="Times New Roman"/>
          <w:sz w:val="24"/>
          <w:szCs w:val="24"/>
        </w:rPr>
        <w:t>l</w:t>
      </w:r>
      <w:r w:rsidR="00190054" w:rsidRPr="007637C9">
        <w:rPr>
          <w:rFonts w:ascii="Times New Roman" w:hAnsi="Times New Roman" w:cs="Times New Roman"/>
          <w:sz w:val="24"/>
          <w:szCs w:val="24"/>
        </w:rPr>
        <w:t xml:space="preserve">eted the ranking questionnaire (64% response rate).  </w:t>
      </w:r>
    </w:p>
    <w:p w14:paraId="782663AB" w14:textId="65F96571" w:rsidR="00CD5BDC" w:rsidRPr="00CF4068" w:rsidRDefault="00CD5BDC" w:rsidP="00CF4068">
      <w:pPr>
        <w:pStyle w:val="ListParagraph"/>
        <w:numPr>
          <w:ilvl w:val="1"/>
          <w:numId w:val="2"/>
        </w:numPr>
        <w:tabs>
          <w:tab w:val="left" w:pos="6840"/>
        </w:tabs>
        <w:spacing w:after="120" w:line="480" w:lineRule="auto"/>
        <w:rPr>
          <w:b/>
          <w:bCs/>
          <w:i/>
          <w:iCs/>
        </w:rPr>
      </w:pPr>
      <w:r w:rsidRPr="00CF4068">
        <w:rPr>
          <w:b/>
          <w:bCs/>
          <w:i/>
          <w:iCs/>
        </w:rPr>
        <w:t>Data Analysis</w:t>
      </w:r>
    </w:p>
    <w:p w14:paraId="2C6D0B82" w14:textId="63778851" w:rsidR="006B466B" w:rsidRPr="007637C9" w:rsidRDefault="006B466B"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Mean (± SD) ranking of each EPA </w:t>
      </w:r>
      <w:r w:rsidR="006C56C0" w:rsidRPr="007637C9">
        <w:rPr>
          <w:rFonts w:ascii="Times New Roman" w:hAnsi="Times New Roman" w:cs="Times New Roman"/>
          <w:sz w:val="24"/>
          <w:szCs w:val="24"/>
        </w:rPr>
        <w:t xml:space="preserve">action </w:t>
      </w:r>
      <w:r w:rsidRPr="007637C9">
        <w:rPr>
          <w:rFonts w:ascii="Times New Roman" w:hAnsi="Times New Roman" w:cs="Times New Roman"/>
          <w:sz w:val="24"/>
          <w:szCs w:val="24"/>
        </w:rPr>
        <w:t>statement was calculated to indicate the importance of the competencies to the students.   To identify if a particular</w:t>
      </w:r>
      <w:r w:rsidR="006C56C0" w:rsidRPr="007637C9">
        <w:rPr>
          <w:rFonts w:ascii="Times New Roman" w:hAnsi="Times New Roman" w:cs="Times New Roman"/>
          <w:sz w:val="24"/>
          <w:szCs w:val="24"/>
        </w:rPr>
        <w:t xml:space="preserve"> action</w:t>
      </w:r>
      <w:r w:rsidRPr="007637C9">
        <w:rPr>
          <w:rFonts w:ascii="Times New Roman" w:hAnsi="Times New Roman" w:cs="Times New Roman"/>
          <w:sz w:val="24"/>
          <w:szCs w:val="24"/>
        </w:rPr>
        <w:t xml:space="preserve"> statement was more important than any other, </w:t>
      </w:r>
      <w:r w:rsidR="00190054" w:rsidRPr="007637C9">
        <w:rPr>
          <w:rFonts w:ascii="Times New Roman" w:hAnsi="Times New Roman" w:cs="Times New Roman"/>
          <w:sz w:val="24"/>
          <w:szCs w:val="24"/>
        </w:rPr>
        <w:t>Friedman Tests</w:t>
      </w:r>
      <w:r w:rsidRPr="007637C9">
        <w:rPr>
          <w:rFonts w:ascii="Times New Roman" w:hAnsi="Times New Roman" w:cs="Times New Roman"/>
          <w:sz w:val="24"/>
          <w:szCs w:val="24"/>
        </w:rPr>
        <w:t xml:space="preserve"> were conducted through analysis of paired mean rankings. Significance was set at ρ &lt; 0.05 </w:t>
      </w:r>
      <w:r w:rsidRPr="007637C9">
        <w:rPr>
          <w:rFonts w:ascii="Times New Roman" w:hAnsi="Times New Roman" w:cs="Times New Roman"/>
          <w:i/>
          <w:sz w:val="24"/>
          <w:szCs w:val="24"/>
        </w:rPr>
        <w:t>a priori</w:t>
      </w:r>
      <w:r w:rsidRPr="007637C9">
        <w:rPr>
          <w:rFonts w:ascii="Times New Roman" w:hAnsi="Times New Roman" w:cs="Times New Roman"/>
          <w:sz w:val="24"/>
          <w:szCs w:val="24"/>
        </w:rPr>
        <w:t xml:space="preserve">.  </w:t>
      </w:r>
      <w:proofErr w:type="gramStart"/>
      <w:r w:rsidRPr="007637C9">
        <w:rPr>
          <w:rFonts w:ascii="Times New Roman" w:hAnsi="Times New Roman" w:cs="Times New Roman"/>
          <w:sz w:val="24"/>
          <w:szCs w:val="24"/>
        </w:rPr>
        <w:t>Similar to</w:t>
      </w:r>
      <w:proofErr w:type="gramEnd"/>
      <w:r w:rsidRPr="007637C9">
        <w:rPr>
          <w:rFonts w:ascii="Times New Roman" w:hAnsi="Times New Roman" w:cs="Times New Roman"/>
          <w:sz w:val="24"/>
          <w:szCs w:val="24"/>
        </w:rPr>
        <w:t xml:space="preserve"> the questionnaire response</w:t>
      </w:r>
      <w:r w:rsidR="00A8558B" w:rsidRPr="007637C9">
        <w:rPr>
          <w:rFonts w:ascii="Times New Roman" w:hAnsi="Times New Roman" w:cs="Times New Roman"/>
          <w:sz w:val="24"/>
          <w:szCs w:val="24"/>
        </w:rPr>
        <w:t>s</w:t>
      </w:r>
      <w:r w:rsidRPr="007637C9">
        <w:rPr>
          <w:rFonts w:ascii="Times New Roman" w:hAnsi="Times New Roman" w:cs="Times New Roman"/>
          <w:sz w:val="24"/>
          <w:szCs w:val="24"/>
        </w:rPr>
        <w:t xml:space="preserve">, a </w:t>
      </w:r>
      <w:r w:rsidRPr="007637C9">
        <w:rPr>
          <w:rFonts w:ascii="Times New Roman" w:hAnsi="Times New Roman" w:cs="Times New Roman"/>
          <w:sz w:val="24"/>
          <w:szCs w:val="24"/>
        </w:rPr>
        <w:lastRenderedPageBreak/>
        <w:t>cluster analysis was conducted to identify common EPA</w:t>
      </w:r>
      <w:r w:rsidR="006C56C0" w:rsidRPr="007637C9">
        <w:rPr>
          <w:rFonts w:ascii="Times New Roman" w:hAnsi="Times New Roman" w:cs="Times New Roman"/>
          <w:sz w:val="24"/>
          <w:szCs w:val="24"/>
        </w:rPr>
        <w:t xml:space="preserve"> action</w:t>
      </w:r>
      <w:r w:rsidRPr="007637C9">
        <w:rPr>
          <w:rFonts w:ascii="Times New Roman" w:hAnsi="Times New Roman" w:cs="Times New Roman"/>
          <w:sz w:val="24"/>
          <w:szCs w:val="24"/>
        </w:rPr>
        <w:t xml:space="preserve"> statements.  All statistical analysis was conducted using SPSS v24 (IBM SPSS Statistics, IBM Co., Armonk, NY).</w:t>
      </w:r>
    </w:p>
    <w:p w14:paraId="687FBE66" w14:textId="77777777" w:rsidR="00CF4068" w:rsidRDefault="00CF4068" w:rsidP="00CF4068">
      <w:pPr>
        <w:pStyle w:val="ListParagraph"/>
        <w:numPr>
          <w:ilvl w:val="0"/>
          <w:numId w:val="2"/>
        </w:numPr>
        <w:tabs>
          <w:tab w:val="left" w:pos="6840"/>
        </w:tabs>
        <w:spacing w:after="120" w:line="480" w:lineRule="auto"/>
        <w:rPr>
          <w:b/>
          <w:bCs/>
        </w:rPr>
      </w:pPr>
      <w:r>
        <w:rPr>
          <w:b/>
          <w:bCs/>
        </w:rPr>
        <w:t>Results</w:t>
      </w:r>
    </w:p>
    <w:p w14:paraId="69CA741F" w14:textId="29F7188A" w:rsidR="00574EA0" w:rsidRPr="00CF4068" w:rsidRDefault="002F314A" w:rsidP="00CF4068">
      <w:pPr>
        <w:pStyle w:val="ListParagraph"/>
        <w:numPr>
          <w:ilvl w:val="1"/>
          <w:numId w:val="2"/>
        </w:numPr>
        <w:tabs>
          <w:tab w:val="left" w:pos="6840"/>
        </w:tabs>
        <w:spacing w:after="120" w:line="480" w:lineRule="auto"/>
        <w:rPr>
          <w:b/>
          <w:bCs/>
        </w:rPr>
      </w:pPr>
      <w:r w:rsidRPr="00CF4068">
        <w:rPr>
          <w:b/>
          <w:bCs/>
        </w:rPr>
        <w:t>Framework Assessment</w:t>
      </w:r>
    </w:p>
    <w:p w14:paraId="6897874E" w14:textId="071E24F0" w:rsidR="00D32E34" w:rsidRPr="007637C9" w:rsidRDefault="00D32E34" w:rsidP="007637C9">
      <w:pPr>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The rank importance of each of the EPA </w:t>
      </w:r>
      <w:r w:rsidR="006C56C0" w:rsidRPr="007637C9">
        <w:rPr>
          <w:rFonts w:ascii="Times New Roman" w:hAnsi="Times New Roman" w:cs="Times New Roman"/>
          <w:sz w:val="24"/>
          <w:szCs w:val="24"/>
        </w:rPr>
        <w:t xml:space="preserve">action </w:t>
      </w:r>
      <w:r w:rsidRPr="007637C9">
        <w:rPr>
          <w:rFonts w:ascii="Times New Roman" w:hAnsi="Times New Roman" w:cs="Times New Roman"/>
          <w:sz w:val="24"/>
          <w:szCs w:val="24"/>
        </w:rPr>
        <w:t xml:space="preserve">statements on the competency matrix is given in Table </w:t>
      </w:r>
      <w:r w:rsidR="00714FE3" w:rsidRPr="007637C9">
        <w:rPr>
          <w:rFonts w:ascii="Times New Roman" w:hAnsi="Times New Roman" w:cs="Times New Roman"/>
          <w:sz w:val="24"/>
          <w:szCs w:val="24"/>
        </w:rPr>
        <w:t>3</w:t>
      </w:r>
      <w:r w:rsidRPr="007637C9">
        <w:rPr>
          <w:rFonts w:ascii="Times New Roman" w:hAnsi="Times New Roman" w:cs="Times New Roman"/>
          <w:sz w:val="24"/>
          <w:szCs w:val="24"/>
        </w:rPr>
        <w:t xml:space="preserve">.  </w:t>
      </w:r>
      <w:r w:rsidR="009A1DB9" w:rsidRPr="007637C9">
        <w:rPr>
          <w:rFonts w:ascii="Times New Roman" w:hAnsi="Times New Roman" w:cs="Times New Roman"/>
          <w:sz w:val="24"/>
          <w:szCs w:val="24"/>
        </w:rPr>
        <w:t>‘</w:t>
      </w:r>
      <w:r w:rsidRPr="007637C9">
        <w:rPr>
          <w:rFonts w:ascii="Times New Roman" w:hAnsi="Times New Roman" w:cs="Times New Roman"/>
          <w:sz w:val="24"/>
          <w:szCs w:val="24"/>
        </w:rPr>
        <w:t>Maintaining health and safety</w:t>
      </w:r>
      <w:r w:rsidR="009A1DB9" w:rsidRPr="007637C9">
        <w:rPr>
          <w:rFonts w:ascii="Times New Roman" w:hAnsi="Times New Roman" w:cs="Times New Roman"/>
          <w:sz w:val="24"/>
          <w:szCs w:val="24"/>
        </w:rPr>
        <w:t>’</w:t>
      </w:r>
      <w:r w:rsidRPr="007637C9">
        <w:rPr>
          <w:rFonts w:ascii="Times New Roman" w:hAnsi="Times New Roman" w:cs="Times New Roman"/>
          <w:sz w:val="24"/>
          <w:szCs w:val="24"/>
        </w:rPr>
        <w:t xml:space="preserve"> was deemed the most important </w:t>
      </w:r>
      <w:r w:rsidR="009A1DB9" w:rsidRPr="007637C9">
        <w:rPr>
          <w:rFonts w:ascii="Times New Roman" w:hAnsi="Times New Roman" w:cs="Times New Roman"/>
          <w:sz w:val="24"/>
          <w:szCs w:val="24"/>
        </w:rPr>
        <w:t>EPA</w:t>
      </w:r>
      <w:r w:rsidR="006C56C0" w:rsidRPr="007637C9">
        <w:rPr>
          <w:rFonts w:ascii="Times New Roman" w:hAnsi="Times New Roman" w:cs="Times New Roman"/>
          <w:sz w:val="24"/>
          <w:szCs w:val="24"/>
        </w:rPr>
        <w:t xml:space="preserve"> action</w:t>
      </w:r>
      <w:r w:rsidRPr="007637C9">
        <w:rPr>
          <w:rFonts w:ascii="Times New Roman" w:hAnsi="Times New Roman" w:cs="Times New Roman"/>
          <w:sz w:val="24"/>
          <w:szCs w:val="24"/>
        </w:rPr>
        <w:t xml:space="preserve"> statement out of the twelve with a mean rank of 3.5 ± 2.8, followed by </w:t>
      </w:r>
      <w:r w:rsidR="009A1DB9" w:rsidRPr="007637C9">
        <w:rPr>
          <w:rFonts w:ascii="Times New Roman" w:hAnsi="Times New Roman" w:cs="Times New Roman"/>
          <w:sz w:val="24"/>
          <w:szCs w:val="24"/>
        </w:rPr>
        <w:t>‘</w:t>
      </w:r>
      <w:r w:rsidRPr="007637C9">
        <w:rPr>
          <w:rFonts w:ascii="Times New Roman" w:hAnsi="Times New Roman" w:cs="Times New Roman"/>
          <w:sz w:val="24"/>
          <w:szCs w:val="24"/>
        </w:rPr>
        <w:t>Duty of care</w:t>
      </w:r>
      <w:r w:rsidR="009A1DB9"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w:t>
      </w:r>
      <w:r w:rsidR="009A1DB9" w:rsidRPr="007637C9">
        <w:rPr>
          <w:rFonts w:ascii="Times New Roman" w:hAnsi="Times New Roman" w:cs="Times New Roman"/>
          <w:sz w:val="24"/>
          <w:szCs w:val="24"/>
        </w:rPr>
        <w:t>‘</w:t>
      </w:r>
      <w:r w:rsidRPr="007637C9">
        <w:rPr>
          <w:rFonts w:ascii="Times New Roman" w:hAnsi="Times New Roman" w:cs="Times New Roman"/>
          <w:sz w:val="24"/>
          <w:szCs w:val="24"/>
        </w:rPr>
        <w:t>Communication of procedure</w:t>
      </w:r>
      <w:r w:rsidR="009A1DB9"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9A1DB9" w:rsidRPr="007637C9">
        <w:rPr>
          <w:rFonts w:ascii="Times New Roman" w:hAnsi="Times New Roman" w:cs="Times New Roman"/>
          <w:sz w:val="24"/>
          <w:szCs w:val="24"/>
        </w:rPr>
        <w:t>‘</w:t>
      </w:r>
      <w:r w:rsidRPr="007637C9">
        <w:rPr>
          <w:rFonts w:ascii="Times New Roman" w:hAnsi="Times New Roman" w:cs="Times New Roman"/>
          <w:sz w:val="24"/>
          <w:szCs w:val="24"/>
        </w:rPr>
        <w:t>Autonomy of practice</w:t>
      </w:r>
      <w:r w:rsidR="009A1DB9" w:rsidRPr="007637C9">
        <w:rPr>
          <w:rFonts w:ascii="Times New Roman" w:hAnsi="Times New Roman" w:cs="Times New Roman"/>
          <w:sz w:val="24"/>
          <w:szCs w:val="24"/>
        </w:rPr>
        <w:t>’</w:t>
      </w:r>
      <w:r w:rsidRPr="007637C9">
        <w:rPr>
          <w:rFonts w:ascii="Times New Roman" w:hAnsi="Times New Roman" w:cs="Times New Roman"/>
          <w:sz w:val="24"/>
          <w:szCs w:val="24"/>
        </w:rPr>
        <w:t xml:space="preserve"> was ranked the least important </w:t>
      </w:r>
      <w:r w:rsidR="006C56C0" w:rsidRPr="007637C9">
        <w:rPr>
          <w:rFonts w:ascii="Times New Roman" w:hAnsi="Times New Roman" w:cs="Times New Roman"/>
          <w:sz w:val="24"/>
          <w:szCs w:val="24"/>
        </w:rPr>
        <w:t xml:space="preserve">action </w:t>
      </w:r>
      <w:r w:rsidRPr="007637C9">
        <w:rPr>
          <w:rFonts w:ascii="Times New Roman" w:hAnsi="Times New Roman" w:cs="Times New Roman"/>
          <w:sz w:val="24"/>
          <w:szCs w:val="24"/>
        </w:rPr>
        <w:t>statement with a mean rank of 7.7 ± 3.2.  The outcome of the Friedman Test</w:t>
      </w:r>
      <w:r w:rsidR="00190054" w:rsidRPr="007637C9">
        <w:rPr>
          <w:rFonts w:ascii="Times New Roman" w:hAnsi="Times New Roman" w:cs="Times New Roman"/>
          <w:sz w:val="24"/>
          <w:szCs w:val="24"/>
        </w:rPr>
        <w:t>s</w:t>
      </w:r>
      <w:r w:rsidRPr="007637C9">
        <w:rPr>
          <w:rFonts w:ascii="Times New Roman" w:hAnsi="Times New Roman" w:cs="Times New Roman"/>
          <w:sz w:val="24"/>
          <w:szCs w:val="24"/>
        </w:rPr>
        <w:t xml:space="preserve"> indicated significant differences existed between the ranks of the</w:t>
      </w:r>
      <w:r w:rsidR="006C56C0" w:rsidRPr="007637C9">
        <w:rPr>
          <w:rFonts w:ascii="Times New Roman" w:hAnsi="Times New Roman" w:cs="Times New Roman"/>
          <w:sz w:val="24"/>
          <w:szCs w:val="24"/>
        </w:rPr>
        <w:t xml:space="preserve"> action</w:t>
      </w:r>
      <w:r w:rsidRPr="007637C9">
        <w:rPr>
          <w:rFonts w:ascii="Times New Roman" w:hAnsi="Times New Roman" w:cs="Times New Roman"/>
          <w:sz w:val="24"/>
          <w:szCs w:val="24"/>
        </w:rPr>
        <w:t xml:space="preserve"> statements (F = 33.27; ρ = 0.0005). Further analysis using the Wilcoxon Signed Rank Test identified that Maintaining Health &amp; Safety ranked significantly more important than the following: Analysis &amp; Interpretation (z = 2.43; ρ = 0.015), Selection of Equipment/Technology (z = 2.95; ρ = 0.003), Ability to Research Appropriate Practice (z = 2.89; ρ = 0.004), Goal Setting and Planning (z = 2.93; ρ = 0.003), Measurement and Data Handling (z = 2.72; ρ = 0.007), Implementation of Validity and Reliability (z = 3.22; ρ = 0.001), Maintain Inclusion and Diversity (z = 3.36; ρ = 0.001), and Autonomy of Practice (z = 3.27; ρ = 0.001). Additionally, Duty of Care ranked significantly more important than Implementation of Validity and Reliability (z = 2.12; ρ = 0.034), Maintain Inclusion and Diversity (z = 2.94; ρ = 0.003), and Autonomy of Practice (z = 2.41; ρ = 0.016) and Communication of Procedure ranked significantly more important than Autonomy of Practice (z = 2.23; ρ = 0.026).</w:t>
      </w:r>
    </w:p>
    <w:p w14:paraId="65C6FB13" w14:textId="3DAA69C5" w:rsidR="00B60F2B" w:rsidRDefault="00D32E34" w:rsidP="007637C9">
      <w:pPr>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A cluster analysis was conducted on the EPA </w:t>
      </w:r>
      <w:r w:rsidR="006C56C0" w:rsidRPr="007637C9">
        <w:rPr>
          <w:rFonts w:ascii="Times New Roman" w:hAnsi="Times New Roman" w:cs="Times New Roman"/>
          <w:sz w:val="24"/>
          <w:szCs w:val="24"/>
        </w:rPr>
        <w:t xml:space="preserve">action </w:t>
      </w:r>
      <w:r w:rsidRPr="007637C9">
        <w:rPr>
          <w:rFonts w:ascii="Times New Roman" w:hAnsi="Times New Roman" w:cs="Times New Roman"/>
          <w:sz w:val="24"/>
          <w:szCs w:val="24"/>
        </w:rPr>
        <w:t xml:space="preserve">statements to identify if specific statements were linked or shared commonalities. Table </w:t>
      </w:r>
      <w:r w:rsidR="00714FE3" w:rsidRPr="007637C9">
        <w:rPr>
          <w:rFonts w:ascii="Times New Roman" w:hAnsi="Times New Roman" w:cs="Times New Roman"/>
          <w:sz w:val="24"/>
          <w:szCs w:val="24"/>
        </w:rPr>
        <w:t>4</w:t>
      </w:r>
      <w:r w:rsidRPr="007637C9">
        <w:rPr>
          <w:rFonts w:ascii="Times New Roman" w:hAnsi="Times New Roman" w:cs="Times New Roman"/>
          <w:sz w:val="24"/>
          <w:szCs w:val="24"/>
        </w:rPr>
        <w:t xml:space="preserve"> indicates the membership of each statement to one of four distinct groups. This is graphically represented in Figure </w:t>
      </w:r>
      <w:r w:rsidR="00714FE3" w:rsidRPr="007637C9">
        <w:rPr>
          <w:rFonts w:ascii="Times New Roman" w:hAnsi="Times New Roman" w:cs="Times New Roman"/>
          <w:sz w:val="24"/>
          <w:szCs w:val="24"/>
        </w:rPr>
        <w:t>1</w:t>
      </w:r>
      <w:r w:rsidRPr="007637C9">
        <w:rPr>
          <w:rFonts w:ascii="Times New Roman" w:hAnsi="Times New Roman" w:cs="Times New Roman"/>
          <w:sz w:val="24"/>
          <w:szCs w:val="24"/>
        </w:rPr>
        <w:t xml:space="preserve">. The dendrogram displays the four clusters based on the distinct linkages, the first separation (from </w:t>
      </w:r>
      <w:r w:rsidRPr="007637C9">
        <w:rPr>
          <w:rFonts w:ascii="Times New Roman" w:hAnsi="Times New Roman" w:cs="Times New Roman"/>
          <w:sz w:val="24"/>
          <w:szCs w:val="24"/>
        </w:rPr>
        <w:lastRenderedPageBreak/>
        <w:t xml:space="preserve">the right-hand side is seen at the first level, creating a cluster (1) comprising </w:t>
      </w:r>
      <w:r w:rsidR="006E73BB" w:rsidRPr="007637C9">
        <w:rPr>
          <w:rFonts w:ascii="Times New Roman" w:hAnsi="Times New Roman" w:cs="Times New Roman"/>
          <w:sz w:val="24"/>
          <w:szCs w:val="24"/>
        </w:rPr>
        <w:t>‘</w:t>
      </w:r>
      <w:r w:rsidRPr="007637C9">
        <w:rPr>
          <w:rFonts w:ascii="Times New Roman" w:hAnsi="Times New Roman" w:cs="Times New Roman"/>
          <w:sz w:val="24"/>
          <w:szCs w:val="24"/>
        </w:rPr>
        <w:t>Communication of Procedure</w:t>
      </w:r>
      <w:r w:rsidR="006E73BB"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6E73BB" w:rsidRPr="007637C9">
        <w:rPr>
          <w:rFonts w:ascii="Times New Roman" w:hAnsi="Times New Roman" w:cs="Times New Roman"/>
          <w:sz w:val="24"/>
          <w:szCs w:val="24"/>
        </w:rPr>
        <w:t>‘</w:t>
      </w:r>
      <w:r w:rsidRPr="007637C9">
        <w:rPr>
          <w:rFonts w:ascii="Times New Roman" w:hAnsi="Times New Roman" w:cs="Times New Roman"/>
          <w:sz w:val="24"/>
          <w:szCs w:val="24"/>
        </w:rPr>
        <w:t>Maintain health and safety</w:t>
      </w:r>
      <w:r w:rsidR="006E73BB"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w:t>
      </w:r>
      <w:r w:rsidR="006E73BB" w:rsidRPr="007637C9">
        <w:rPr>
          <w:rFonts w:ascii="Times New Roman" w:hAnsi="Times New Roman" w:cs="Times New Roman"/>
          <w:sz w:val="24"/>
          <w:szCs w:val="24"/>
        </w:rPr>
        <w:t>‘</w:t>
      </w:r>
      <w:r w:rsidRPr="007637C9">
        <w:rPr>
          <w:rFonts w:ascii="Times New Roman" w:hAnsi="Times New Roman" w:cs="Times New Roman"/>
          <w:sz w:val="24"/>
          <w:szCs w:val="24"/>
        </w:rPr>
        <w:t>Duty of care towards athlete/client</w:t>
      </w:r>
      <w:r w:rsidR="006E73BB" w:rsidRPr="007637C9">
        <w:rPr>
          <w:rFonts w:ascii="Times New Roman" w:hAnsi="Times New Roman" w:cs="Times New Roman"/>
          <w:sz w:val="24"/>
          <w:szCs w:val="24"/>
        </w:rPr>
        <w:t>’</w:t>
      </w:r>
      <w:r w:rsidRPr="007637C9">
        <w:rPr>
          <w:rFonts w:ascii="Times New Roman" w:hAnsi="Times New Roman" w:cs="Times New Roman"/>
          <w:sz w:val="24"/>
          <w:szCs w:val="24"/>
        </w:rPr>
        <w:t xml:space="preserve">. The second separation occurs at the second level, creating a cluster (2) comprising </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Analysis and interpretation</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Engagement with athlete/client</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 xml:space="preserve">. The third separation occurs at the third level, creating the final two clusters: A cluster (3) comprising </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Ability to research appropriate practice</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Autonomy of practice</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Maintain inclusion and diversity</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a cluster (4) comprising </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Goal setting and planning</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Selection of equipment/technology</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Measurement and Data Handling</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Implementation of validity and reliability</w:t>
      </w:r>
      <w:r w:rsidR="00FC1EF5" w:rsidRPr="007637C9">
        <w:rPr>
          <w:rFonts w:ascii="Times New Roman" w:hAnsi="Times New Roman" w:cs="Times New Roman"/>
          <w:sz w:val="24"/>
          <w:szCs w:val="24"/>
        </w:rPr>
        <w:t>’</w:t>
      </w:r>
      <w:r w:rsidRPr="007637C9">
        <w:rPr>
          <w:rFonts w:ascii="Times New Roman" w:hAnsi="Times New Roman" w:cs="Times New Roman"/>
          <w:sz w:val="24"/>
          <w:szCs w:val="24"/>
        </w:rPr>
        <w:t>.  The statements in cluster 1 generally relate to an EPA area involving safety, while the statements in cluster 2 generally relate to an EPA area involving Feedback/Feedforward.  Cluster 3 generally relate to an EPA area around professional attributes, while cluster 4 generally relate to practical tasks within sport science support and an EPA area of testing.</w:t>
      </w:r>
    </w:p>
    <w:p w14:paraId="0ED9D33D" w14:textId="77777777" w:rsidR="00CF4068" w:rsidRPr="007637C9" w:rsidRDefault="00CF4068" w:rsidP="00CF4068">
      <w:pPr>
        <w:spacing w:after="120"/>
        <w:rPr>
          <w:rFonts w:ascii="Times New Roman" w:hAnsi="Times New Roman" w:cs="Times New Roman"/>
          <w:sz w:val="24"/>
          <w:szCs w:val="24"/>
        </w:rPr>
      </w:pPr>
      <w:r w:rsidRPr="007637C9">
        <w:rPr>
          <w:rFonts w:ascii="Times New Roman" w:hAnsi="Times New Roman" w:cs="Times New Roman"/>
          <w:sz w:val="24"/>
          <w:szCs w:val="24"/>
        </w:rPr>
        <w:t>Table 3. Rank importance of EPA statements on the competency matrix</w:t>
      </w:r>
    </w:p>
    <w:tbl>
      <w:tblPr>
        <w:tblStyle w:val="ListTable1Light"/>
        <w:tblW w:w="0" w:type="auto"/>
        <w:tblLook w:val="04A0" w:firstRow="1" w:lastRow="0" w:firstColumn="1" w:lastColumn="0" w:noHBand="0" w:noVBand="1"/>
      </w:tblPr>
      <w:tblGrid>
        <w:gridCol w:w="4508"/>
        <w:gridCol w:w="2580"/>
      </w:tblGrid>
      <w:tr w:rsidR="00CF4068" w:rsidRPr="007637C9" w14:paraId="54ED0D28" w14:textId="77777777" w:rsidTr="0075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tcBorders>
          </w:tcPr>
          <w:p w14:paraId="55898B73"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sz w:val="24"/>
                <w:szCs w:val="24"/>
              </w:rPr>
              <w:t>Statement</w:t>
            </w:r>
          </w:p>
        </w:tc>
        <w:tc>
          <w:tcPr>
            <w:tcW w:w="2580" w:type="dxa"/>
            <w:tcBorders>
              <w:top w:val="single" w:sz="4" w:space="0" w:color="auto"/>
            </w:tcBorders>
          </w:tcPr>
          <w:p w14:paraId="18B78EC6" w14:textId="77777777" w:rsidR="00CF4068" w:rsidRPr="007637C9" w:rsidRDefault="00CF4068" w:rsidP="007503B5">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Mean Rank Importance</w:t>
            </w:r>
          </w:p>
        </w:tc>
      </w:tr>
      <w:tr w:rsidR="00CF4068" w:rsidRPr="007637C9" w14:paraId="58BE96E8"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251E9F75"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Maintain health and safety</w:t>
            </w:r>
          </w:p>
        </w:tc>
        <w:tc>
          <w:tcPr>
            <w:tcW w:w="2580" w:type="dxa"/>
            <w:shd w:val="clear" w:color="auto" w:fill="auto"/>
          </w:tcPr>
          <w:p w14:paraId="22D822DF" w14:textId="77777777" w:rsidR="00CF4068" w:rsidRPr="007637C9" w:rsidRDefault="00CF4068" w:rsidP="007503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3.5 ± 2.8</w:t>
            </w:r>
          </w:p>
        </w:tc>
      </w:tr>
      <w:tr w:rsidR="00CF4068" w:rsidRPr="007637C9" w14:paraId="4615705D"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22B03094"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Duty of care towards athlete/client</w:t>
            </w:r>
          </w:p>
        </w:tc>
        <w:tc>
          <w:tcPr>
            <w:tcW w:w="2580" w:type="dxa"/>
            <w:shd w:val="clear" w:color="auto" w:fill="auto"/>
          </w:tcPr>
          <w:p w14:paraId="5C445FA0" w14:textId="77777777" w:rsidR="00CF4068" w:rsidRPr="007637C9" w:rsidRDefault="00CF4068" w:rsidP="007503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4.8 ± 4.0</w:t>
            </w:r>
          </w:p>
        </w:tc>
      </w:tr>
      <w:tr w:rsidR="00CF4068" w:rsidRPr="007637C9" w14:paraId="002C1B2B"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3F848790"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Communication of procedure</w:t>
            </w:r>
          </w:p>
        </w:tc>
        <w:tc>
          <w:tcPr>
            <w:tcW w:w="2580" w:type="dxa"/>
            <w:shd w:val="clear" w:color="auto" w:fill="auto"/>
          </w:tcPr>
          <w:p w14:paraId="5A5168BE" w14:textId="77777777" w:rsidR="00CF4068" w:rsidRPr="007637C9" w:rsidRDefault="00CF4068" w:rsidP="007503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5.2 ± 3.3</w:t>
            </w:r>
          </w:p>
        </w:tc>
      </w:tr>
      <w:tr w:rsidR="00CF4068" w:rsidRPr="007637C9" w14:paraId="595EB91D"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371AE171"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Engagement with athlete/client</w:t>
            </w:r>
          </w:p>
        </w:tc>
        <w:tc>
          <w:tcPr>
            <w:tcW w:w="2580" w:type="dxa"/>
            <w:shd w:val="clear" w:color="auto" w:fill="auto"/>
          </w:tcPr>
          <w:p w14:paraId="1D4774F6" w14:textId="77777777" w:rsidR="00CF4068" w:rsidRPr="007637C9" w:rsidRDefault="00CF4068" w:rsidP="007503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5.9 ± 3.4</w:t>
            </w:r>
          </w:p>
        </w:tc>
      </w:tr>
      <w:tr w:rsidR="00CF4068" w:rsidRPr="007637C9" w14:paraId="7C555F60"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21F06CC5"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Analysis and interpretation</w:t>
            </w:r>
          </w:p>
        </w:tc>
        <w:tc>
          <w:tcPr>
            <w:tcW w:w="2580" w:type="dxa"/>
            <w:shd w:val="clear" w:color="auto" w:fill="auto"/>
          </w:tcPr>
          <w:p w14:paraId="1F89963D" w14:textId="77777777" w:rsidR="00CF4068" w:rsidRPr="007637C9" w:rsidRDefault="00CF4068" w:rsidP="007503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6.6 ± 3.6</w:t>
            </w:r>
            <w:r w:rsidRPr="007637C9">
              <w:rPr>
                <w:rFonts w:ascii="Times New Roman" w:hAnsi="Times New Roman" w:cs="Times New Roman"/>
                <w:sz w:val="24"/>
                <w:szCs w:val="24"/>
                <w:vertAlign w:val="superscript"/>
              </w:rPr>
              <w:t>*</w:t>
            </w:r>
          </w:p>
        </w:tc>
      </w:tr>
      <w:tr w:rsidR="00CF4068" w:rsidRPr="007637C9" w14:paraId="54D8FA38"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7238CF12"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Selection of equipment/technology</w:t>
            </w:r>
          </w:p>
        </w:tc>
        <w:tc>
          <w:tcPr>
            <w:tcW w:w="2580" w:type="dxa"/>
            <w:shd w:val="clear" w:color="auto" w:fill="auto"/>
          </w:tcPr>
          <w:p w14:paraId="086CE6A5" w14:textId="77777777" w:rsidR="00CF4068" w:rsidRPr="007637C9" w:rsidRDefault="00CF4068" w:rsidP="007503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6.7 ± 2.6</w:t>
            </w:r>
            <w:r w:rsidRPr="007637C9">
              <w:rPr>
                <w:rFonts w:ascii="Times New Roman" w:hAnsi="Times New Roman" w:cs="Times New Roman"/>
                <w:sz w:val="24"/>
                <w:szCs w:val="24"/>
                <w:vertAlign w:val="superscript"/>
              </w:rPr>
              <w:t>*</w:t>
            </w:r>
          </w:p>
        </w:tc>
      </w:tr>
      <w:tr w:rsidR="00CF4068" w:rsidRPr="007637C9" w14:paraId="0B41B973"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23040B9D"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Ability to research appropriate practice</w:t>
            </w:r>
          </w:p>
        </w:tc>
        <w:tc>
          <w:tcPr>
            <w:tcW w:w="2580" w:type="dxa"/>
            <w:shd w:val="clear" w:color="auto" w:fill="auto"/>
          </w:tcPr>
          <w:p w14:paraId="6D3E54A2" w14:textId="77777777" w:rsidR="00CF4068" w:rsidRPr="007637C9" w:rsidRDefault="00CF4068" w:rsidP="007503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6.7 ± 3.0</w:t>
            </w:r>
            <w:r w:rsidRPr="007637C9">
              <w:rPr>
                <w:rFonts w:ascii="Times New Roman" w:hAnsi="Times New Roman" w:cs="Times New Roman"/>
                <w:sz w:val="24"/>
                <w:szCs w:val="24"/>
                <w:vertAlign w:val="superscript"/>
              </w:rPr>
              <w:t>*</w:t>
            </w:r>
          </w:p>
        </w:tc>
      </w:tr>
      <w:tr w:rsidR="00CF4068" w:rsidRPr="007637C9" w14:paraId="7295835F"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73742826"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Goal setting and planning</w:t>
            </w:r>
          </w:p>
        </w:tc>
        <w:tc>
          <w:tcPr>
            <w:tcW w:w="2580" w:type="dxa"/>
            <w:shd w:val="clear" w:color="auto" w:fill="auto"/>
          </w:tcPr>
          <w:p w14:paraId="4A351C8F" w14:textId="77777777" w:rsidR="00CF4068" w:rsidRPr="007637C9" w:rsidRDefault="00CF4068" w:rsidP="007503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6.8 ± 3.1</w:t>
            </w:r>
            <w:r w:rsidRPr="007637C9">
              <w:rPr>
                <w:rFonts w:ascii="Times New Roman" w:hAnsi="Times New Roman" w:cs="Times New Roman"/>
                <w:sz w:val="24"/>
                <w:szCs w:val="24"/>
                <w:vertAlign w:val="superscript"/>
              </w:rPr>
              <w:t>*</w:t>
            </w:r>
          </w:p>
        </w:tc>
      </w:tr>
      <w:tr w:rsidR="00CF4068" w:rsidRPr="007637C9" w14:paraId="6B133889"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6CDDC327"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Measurement and data handling</w:t>
            </w:r>
          </w:p>
        </w:tc>
        <w:tc>
          <w:tcPr>
            <w:tcW w:w="2580" w:type="dxa"/>
            <w:shd w:val="clear" w:color="auto" w:fill="auto"/>
          </w:tcPr>
          <w:p w14:paraId="1294A1E3" w14:textId="77777777" w:rsidR="00CF4068" w:rsidRPr="007637C9" w:rsidRDefault="00CF4068" w:rsidP="007503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6.8 ± 3.6</w:t>
            </w:r>
            <w:r w:rsidRPr="007637C9">
              <w:rPr>
                <w:rFonts w:ascii="Times New Roman" w:hAnsi="Times New Roman" w:cs="Times New Roman"/>
                <w:sz w:val="24"/>
                <w:szCs w:val="24"/>
                <w:vertAlign w:val="superscript"/>
              </w:rPr>
              <w:t>*</w:t>
            </w:r>
          </w:p>
        </w:tc>
      </w:tr>
      <w:tr w:rsidR="00CF4068" w:rsidRPr="007637C9" w14:paraId="7BE155C7" w14:textId="77777777" w:rsidTr="007503B5">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5B6CCD03"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Implementation of validity and reliability</w:t>
            </w:r>
          </w:p>
        </w:tc>
        <w:tc>
          <w:tcPr>
            <w:tcW w:w="2580" w:type="dxa"/>
            <w:shd w:val="clear" w:color="auto" w:fill="auto"/>
          </w:tcPr>
          <w:p w14:paraId="7801E5FF" w14:textId="77777777" w:rsidR="00CF4068" w:rsidRPr="007637C9" w:rsidRDefault="00CF4068" w:rsidP="007503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7.1 ± 3.5</w:t>
            </w:r>
            <w:r w:rsidRPr="007637C9">
              <w:rPr>
                <w:rFonts w:ascii="Times New Roman" w:hAnsi="Times New Roman" w:cs="Times New Roman"/>
                <w:sz w:val="24"/>
                <w:szCs w:val="24"/>
                <w:vertAlign w:val="superscript"/>
              </w:rPr>
              <w:t>*#</w:t>
            </w:r>
          </w:p>
        </w:tc>
      </w:tr>
      <w:tr w:rsidR="00CF4068" w:rsidRPr="007637C9" w14:paraId="46A16D96"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14:paraId="0EA4B419"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Maintain inclusion and diversity</w:t>
            </w:r>
          </w:p>
        </w:tc>
        <w:tc>
          <w:tcPr>
            <w:tcW w:w="2580" w:type="dxa"/>
            <w:shd w:val="clear" w:color="auto" w:fill="auto"/>
          </w:tcPr>
          <w:p w14:paraId="5F9DDFD9" w14:textId="77777777" w:rsidR="00CF4068" w:rsidRPr="007637C9" w:rsidRDefault="00CF4068" w:rsidP="007503B5">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7.5 ± 3.5</w:t>
            </w:r>
            <w:r w:rsidRPr="007637C9">
              <w:rPr>
                <w:rFonts w:ascii="Times New Roman" w:hAnsi="Times New Roman" w:cs="Times New Roman"/>
                <w:sz w:val="24"/>
                <w:szCs w:val="24"/>
                <w:vertAlign w:val="superscript"/>
              </w:rPr>
              <w:t>*#</w:t>
            </w:r>
          </w:p>
        </w:tc>
      </w:tr>
      <w:tr w:rsidR="00CF4068" w:rsidRPr="007637C9" w14:paraId="68CC5432" w14:textId="77777777" w:rsidTr="007503B5">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shd w:val="clear" w:color="auto" w:fill="auto"/>
          </w:tcPr>
          <w:p w14:paraId="39F5E098" w14:textId="77777777" w:rsidR="00CF4068" w:rsidRPr="007637C9" w:rsidRDefault="00CF4068" w:rsidP="007503B5">
            <w:pPr>
              <w:spacing w:after="120"/>
              <w:rPr>
                <w:rFonts w:ascii="Times New Roman" w:hAnsi="Times New Roman" w:cs="Times New Roman"/>
                <w:b w:val="0"/>
                <w:sz w:val="24"/>
                <w:szCs w:val="24"/>
              </w:rPr>
            </w:pPr>
            <w:r w:rsidRPr="007637C9">
              <w:rPr>
                <w:rFonts w:ascii="Times New Roman" w:hAnsi="Times New Roman" w:cs="Times New Roman"/>
                <w:b w:val="0"/>
                <w:sz w:val="24"/>
                <w:szCs w:val="24"/>
              </w:rPr>
              <w:t>Autonomy of practice</w:t>
            </w:r>
          </w:p>
        </w:tc>
        <w:tc>
          <w:tcPr>
            <w:tcW w:w="2580" w:type="dxa"/>
            <w:tcBorders>
              <w:bottom w:val="single" w:sz="4" w:space="0" w:color="auto"/>
            </w:tcBorders>
            <w:shd w:val="clear" w:color="auto" w:fill="auto"/>
          </w:tcPr>
          <w:p w14:paraId="28B5FD8A" w14:textId="77777777" w:rsidR="00CF4068" w:rsidRPr="007637C9" w:rsidRDefault="00CF4068" w:rsidP="007503B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7.7 ± 3.2</w:t>
            </w:r>
            <w:r w:rsidRPr="007637C9">
              <w:rPr>
                <w:rFonts w:ascii="Times New Roman" w:hAnsi="Times New Roman" w:cs="Times New Roman"/>
                <w:sz w:val="24"/>
                <w:szCs w:val="24"/>
                <w:vertAlign w:val="superscript"/>
              </w:rPr>
              <w:t>*#‡</w:t>
            </w:r>
          </w:p>
        </w:tc>
      </w:tr>
    </w:tbl>
    <w:p w14:paraId="01C703CB" w14:textId="77777777" w:rsidR="00CF4068" w:rsidRPr="007637C9" w:rsidRDefault="00CF4068" w:rsidP="00CF4068">
      <w:pPr>
        <w:spacing w:after="120"/>
        <w:rPr>
          <w:rFonts w:ascii="Times New Roman" w:hAnsi="Times New Roman" w:cs="Times New Roman"/>
          <w:sz w:val="24"/>
          <w:szCs w:val="24"/>
        </w:rPr>
      </w:pPr>
      <w:r w:rsidRPr="007637C9">
        <w:rPr>
          <w:rFonts w:ascii="Times New Roman" w:hAnsi="Times New Roman" w:cs="Times New Roman"/>
          <w:sz w:val="24"/>
          <w:szCs w:val="24"/>
        </w:rPr>
        <w:t xml:space="preserve">Rank: 1: Most Important; 12: Least Important; </w:t>
      </w:r>
      <w:r w:rsidRPr="007637C9">
        <w:rPr>
          <w:rFonts w:ascii="Times New Roman" w:hAnsi="Times New Roman" w:cs="Times New Roman"/>
          <w:sz w:val="24"/>
          <w:szCs w:val="24"/>
          <w:vertAlign w:val="superscript"/>
        </w:rPr>
        <w:t>*</w:t>
      </w:r>
      <w:r w:rsidRPr="007637C9">
        <w:rPr>
          <w:rFonts w:ascii="Times New Roman" w:hAnsi="Times New Roman" w:cs="Times New Roman"/>
          <w:sz w:val="24"/>
          <w:szCs w:val="24"/>
        </w:rPr>
        <w:t xml:space="preserve"> Significantly different (ρ &lt; 0.05) than Maintain Health and Safety; </w:t>
      </w:r>
      <w:r w:rsidRPr="007637C9">
        <w:rPr>
          <w:rFonts w:ascii="Times New Roman" w:hAnsi="Times New Roman" w:cs="Times New Roman"/>
          <w:sz w:val="24"/>
          <w:szCs w:val="24"/>
          <w:vertAlign w:val="superscript"/>
        </w:rPr>
        <w:t>#</w:t>
      </w:r>
      <w:r w:rsidRPr="007637C9">
        <w:rPr>
          <w:rFonts w:ascii="Times New Roman" w:hAnsi="Times New Roman" w:cs="Times New Roman"/>
          <w:sz w:val="24"/>
          <w:szCs w:val="24"/>
        </w:rPr>
        <w:t xml:space="preserve"> Significantly different (ρ &lt; 0.05) than Duty of Care; </w:t>
      </w:r>
      <w:r w:rsidRPr="007637C9">
        <w:rPr>
          <w:rFonts w:ascii="Times New Roman" w:hAnsi="Times New Roman" w:cs="Times New Roman"/>
          <w:sz w:val="24"/>
          <w:szCs w:val="24"/>
          <w:vertAlign w:val="superscript"/>
        </w:rPr>
        <w:t>‡</w:t>
      </w:r>
      <w:r w:rsidRPr="007637C9">
        <w:rPr>
          <w:rFonts w:ascii="Times New Roman" w:hAnsi="Times New Roman" w:cs="Times New Roman"/>
          <w:sz w:val="24"/>
          <w:szCs w:val="24"/>
        </w:rPr>
        <w:t xml:space="preserve"> Significantly different (ρ &lt; 0.05) than Communication.</w:t>
      </w:r>
    </w:p>
    <w:p w14:paraId="06172940" w14:textId="77777777" w:rsidR="004E61C1" w:rsidRDefault="004E61C1" w:rsidP="00CF4068">
      <w:pPr>
        <w:spacing w:after="120"/>
        <w:rPr>
          <w:rFonts w:ascii="Times New Roman" w:hAnsi="Times New Roman" w:cs="Times New Roman"/>
          <w:sz w:val="24"/>
          <w:szCs w:val="24"/>
        </w:rPr>
      </w:pPr>
    </w:p>
    <w:p w14:paraId="350D1450" w14:textId="354DD5FD" w:rsidR="00CF4068" w:rsidRPr="007637C9" w:rsidRDefault="00CF4068" w:rsidP="00CF4068">
      <w:pPr>
        <w:spacing w:after="120"/>
        <w:rPr>
          <w:rFonts w:ascii="Times New Roman" w:hAnsi="Times New Roman" w:cs="Times New Roman"/>
          <w:sz w:val="24"/>
          <w:szCs w:val="24"/>
        </w:rPr>
      </w:pPr>
      <w:r w:rsidRPr="007637C9">
        <w:rPr>
          <w:rFonts w:ascii="Times New Roman" w:hAnsi="Times New Roman" w:cs="Times New Roman"/>
          <w:sz w:val="24"/>
          <w:szCs w:val="24"/>
        </w:rPr>
        <w:lastRenderedPageBreak/>
        <w:t>Table 4. Cluster membership of the EPA action statements</w:t>
      </w:r>
    </w:p>
    <w:tbl>
      <w:tblPr>
        <w:tblStyle w:val="ListTable2"/>
        <w:tblW w:w="0" w:type="auto"/>
        <w:tblLook w:val="04A0" w:firstRow="1" w:lastRow="0" w:firstColumn="1" w:lastColumn="0" w:noHBand="0" w:noVBand="1"/>
      </w:tblPr>
      <w:tblGrid>
        <w:gridCol w:w="4820"/>
        <w:gridCol w:w="2551"/>
      </w:tblGrid>
      <w:tr w:rsidR="00CF4068" w:rsidRPr="007637C9" w14:paraId="6C3465DB" w14:textId="77777777" w:rsidTr="00750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shd w:val="clear" w:color="auto" w:fill="auto"/>
          </w:tcPr>
          <w:p w14:paraId="51D105EC"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sz w:val="24"/>
                <w:szCs w:val="24"/>
              </w:rPr>
              <w:t>Question</w:t>
            </w:r>
          </w:p>
        </w:tc>
        <w:tc>
          <w:tcPr>
            <w:tcW w:w="2551" w:type="dxa"/>
            <w:shd w:val="clear" w:color="auto" w:fill="auto"/>
          </w:tcPr>
          <w:p w14:paraId="5ADD05CD" w14:textId="77777777" w:rsidR="00CF4068" w:rsidRPr="007637C9" w:rsidRDefault="00CF4068" w:rsidP="007503B5">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Cluster</w:t>
            </w:r>
          </w:p>
        </w:tc>
      </w:tr>
      <w:tr w:rsidR="00CF4068" w:rsidRPr="007637C9" w14:paraId="6BDC530E"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1348157"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Communication of procedure</w:t>
            </w:r>
          </w:p>
        </w:tc>
        <w:tc>
          <w:tcPr>
            <w:tcW w:w="2551" w:type="dxa"/>
            <w:tcBorders>
              <w:top w:val="nil"/>
              <w:bottom w:val="nil"/>
            </w:tcBorders>
            <w:shd w:val="clear" w:color="auto" w:fill="auto"/>
          </w:tcPr>
          <w:p w14:paraId="4652A6F8" w14:textId="77777777" w:rsidR="00CF4068" w:rsidRPr="007637C9" w:rsidRDefault="00CF4068" w:rsidP="007503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1</w:t>
            </w:r>
          </w:p>
        </w:tc>
      </w:tr>
      <w:tr w:rsidR="00CF4068" w:rsidRPr="007637C9" w14:paraId="7EF62040" w14:textId="77777777" w:rsidTr="007503B5">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E6B2D8D"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Duty of care towards athlete/client</w:t>
            </w:r>
          </w:p>
        </w:tc>
        <w:tc>
          <w:tcPr>
            <w:tcW w:w="2551" w:type="dxa"/>
            <w:tcBorders>
              <w:top w:val="nil"/>
              <w:bottom w:val="nil"/>
            </w:tcBorders>
            <w:shd w:val="clear" w:color="auto" w:fill="auto"/>
          </w:tcPr>
          <w:p w14:paraId="70BF88F5" w14:textId="77777777" w:rsidR="00CF4068" w:rsidRPr="007637C9" w:rsidRDefault="00CF4068" w:rsidP="007503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1</w:t>
            </w:r>
          </w:p>
        </w:tc>
      </w:tr>
      <w:tr w:rsidR="00CF4068" w:rsidRPr="007637C9" w14:paraId="6A81EC3C"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3404431"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Maintain health and safety</w:t>
            </w:r>
          </w:p>
        </w:tc>
        <w:tc>
          <w:tcPr>
            <w:tcW w:w="2551" w:type="dxa"/>
            <w:tcBorders>
              <w:top w:val="nil"/>
              <w:bottom w:val="nil"/>
            </w:tcBorders>
            <w:shd w:val="clear" w:color="auto" w:fill="auto"/>
          </w:tcPr>
          <w:p w14:paraId="1384D8E8" w14:textId="77777777" w:rsidR="00CF4068" w:rsidRPr="007637C9" w:rsidRDefault="00CF4068" w:rsidP="007503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1</w:t>
            </w:r>
          </w:p>
        </w:tc>
      </w:tr>
      <w:tr w:rsidR="00CF4068" w:rsidRPr="007637C9" w14:paraId="07E9C0DD" w14:textId="77777777" w:rsidTr="007503B5">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5509D3B"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Analysis and interpretation</w:t>
            </w:r>
          </w:p>
        </w:tc>
        <w:tc>
          <w:tcPr>
            <w:tcW w:w="2551" w:type="dxa"/>
            <w:tcBorders>
              <w:top w:val="nil"/>
              <w:bottom w:val="nil"/>
            </w:tcBorders>
            <w:shd w:val="clear" w:color="auto" w:fill="auto"/>
          </w:tcPr>
          <w:p w14:paraId="50AC9555" w14:textId="77777777" w:rsidR="00CF4068" w:rsidRPr="007637C9" w:rsidRDefault="00CF4068" w:rsidP="007503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2</w:t>
            </w:r>
          </w:p>
        </w:tc>
      </w:tr>
      <w:tr w:rsidR="00CF4068" w:rsidRPr="007637C9" w14:paraId="344BCAEF"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D988FBD"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Engagement with athlete/client</w:t>
            </w:r>
          </w:p>
        </w:tc>
        <w:tc>
          <w:tcPr>
            <w:tcW w:w="2551" w:type="dxa"/>
            <w:tcBorders>
              <w:top w:val="nil"/>
              <w:bottom w:val="nil"/>
            </w:tcBorders>
            <w:shd w:val="clear" w:color="auto" w:fill="auto"/>
          </w:tcPr>
          <w:p w14:paraId="50CF1B01" w14:textId="77777777" w:rsidR="00CF4068" w:rsidRPr="007637C9" w:rsidRDefault="00CF4068" w:rsidP="007503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2</w:t>
            </w:r>
          </w:p>
        </w:tc>
      </w:tr>
      <w:tr w:rsidR="00CF4068" w:rsidRPr="007637C9" w14:paraId="11670C10" w14:textId="77777777" w:rsidTr="007503B5">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5AB4F6EF"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Ability to research appropriate practice</w:t>
            </w:r>
          </w:p>
        </w:tc>
        <w:tc>
          <w:tcPr>
            <w:tcW w:w="2551" w:type="dxa"/>
            <w:tcBorders>
              <w:top w:val="nil"/>
              <w:bottom w:val="nil"/>
            </w:tcBorders>
            <w:shd w:val="clear" w:color="auto" w:fill="auto"/>
          </w:tcPr>
          <w:p w14:paraId="6B720CEF" w14:textId="77777777" w:rsidR="00CF4068" w:rsidRPr="007637C9" w:rsidRDefault="00CF4068" w:rsidP="007503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3</w:t>
            </w:r>
          </w:p>
        </w:tc>
      </w:tr>
      <w:tr w:rsidR="00CF4068" w:rsidRPr="007637C9" w14:paraId="7C402568"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9467032"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Autonomy of practice</w:t>
            </w:r>
          </w:p>
        </w:tc>
        <w:tc>
          <w:tcPr>
            <w:tcW w:w="2551" w:type="dxa"/>
            <w:tcBorders>
              <w:top w:val="nil"/>
              <w:bottom w:val="nil"/>
            </w:tcBorders>
            <w:shd w:val="clear" w:color="auto" w:fill="auto"/>
          </w:tcPr>
          <w:p w14:paraId="5E4AF259" w14:textId="77777777" w:rsidR="00CF4068" w:rsidRPr="007637C9" w:rsidRDefault="00CF4068" w:rsidP="007503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3</w:t>
            </w:r>
          </w:p>
        </w:tc>
      </w:tr>
      <w:tr w:rsidR="00CF4068" w:rsidRPr="007637C9" w14:paraId="68DB1CDF" w14:textId="77777777" w:rsidTr="007503B5">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3E80842"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Maintain inclusion and diversity</w:t>
            </w:r>
          </w:p>
        </w:tc>
        <w:tc>
          <w:tcPr>
            <w:tcW w:w="2551" w:type="dxa"/>
            <w:tcBorders>
              <w:top w:val="nil"/>
              <w:bottom w:val="nil"/>
            </w:tcBorders>
            <w:shd w:val="clear" w:color="auto" w:fill="auto"/>
          </w:tcPr>
          <w:p w14:paraId="3791A105" w14:textId="77777777" w:rsidR="00CF4068" w:rsidRPr="007637C9" w:rsidRDefault="00CF4068" w:rsidP="007503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3</w:t>
            </w:r>
          </w:p>
        </w:tc>
      </w:tr>
      <w:tr w:rsidR="00CF4068" w:rsidRPr="007637C9" w14:paraId="2A5DEDB6"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8EF91F8"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Goal setting and planning</w:t>
            </w:r>
          </w:p>
        </w:tc>
        <w:tc>
          <w:tcPr>
            <w:tcW w:w="2551" w:type="dxa"/>
            <w:tcBorders>
              <w:top w:val="nil"/>
              <w:bottom w:val="nil"/>
            </w:tcBorders>
            <w:shd w:val="clear" w:color="auto" w:fill="auto"/>
          </w:tcPr>
          <w:p w14:paraId="59BFB3B4" w14:textId="77777777" w:rsidR="00CF4068" w:rsidRPr="007637C9" w:rsidRDefault="00CF4068" w:rsidP="007503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4</w:t>
            </w:r>
          </w:p>
        </w:tc>
      </w:tr>
      <w:tr w:rsidR="00CF4068" w:rsidRPr="007637C9" w14:paraId="78A30B8B" w14:textId="77777777" w:rsidTr="007503B5">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075397A"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Selection of equipment/technology</w:t>
            </w:r>
          </w:p>
        </w:tc>
        <w:tc>
          <w:tcPr>
            <w:tcW w:w="2551" w:type="dxa"/>
            <w:tcBorders>
              <w:top w:val="nil"/>
              <w:bottom w:val="nil"/>
            </w:tcBorders>
            <w:shd w:val="clear" w:color="auto" w:fill="auto"/>
          </w:tcPr>
          <w:p w14:paraId="5C2AFFC5" w14:textId="77777777" w:rsidR="00CF4068" w:rsidRPr="007637C9" w:rsidRDefault="00CF4068" w:rsidP="007503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4</w:t>
            </w:r>
          </w:p>
        </w:tc>
      </w:tr>
      <w:tr w:rsidR="00CF4068" w:rsidRPr="007637C9" w14:paraId="7953C05E" w14:textId="77777777" w:rsidTr="0075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21FED1AD"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Measurement and Data Handling</w:t>
            </w:r>
          </w:p>
        </w:tc>
        <w:tc>
          <w:tcPr>
            <w:tcW w:w="2551" w:type="dxa"/>
            <w:tcBorders>
              <w:top w:val="nil"/>
              <w:bottom w:val="nil"/>
            </w:tcBorders>
            <w:shd w:val="clear" w:color="auto" w:fill="auto"/>
          </w:tcPr>
          <w:p w14:paraId="47BEAF31" w14:textId="77777777" w:rsidR="00CF4068" w:rsidRPr="007637C9" w:rsidRDefault="00CF4068" w:rsidP="007503B5">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4</w:t>
            </w:r>
          </w:p>
        </w:tc>
      </w:tr>
      <w:tr w:rsidR="00CF4068" w:rsidRPr="007637C9" w14:paraId="2DA1371E" w14:textId="77777777" w:rsidTr="007503B5">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4" w:space="0" w:color="auto"/>
            </w:tcBorders>
            <w:shd w:val="clear" w:color="auto" w:fill="auto"/>
          </w:tcPr>
          <w:p w14:paraId="1D07C0A0" w14:textId="77777777" w:rsidR="00CF4068" w:rsidRPr="007637C9" w:rsidRDefault="00CF4068" w:rsidP="007503B5">
            <w:pPr>
              <w:spacing w:after="120"/>
              <w:rPr>
                <w:rFonts w:ascii="Times New Roman" w:hAnsi="Times New Roman" w:cs="Times New Roman"/>
                <w:sz w:val="24"/>
                <w:szCs w:val="24"/>
              </w:rPr>
            </w:pPr>
            <w:r w:rsidRPr="007637C9">
              <w:rPr>
                <w:rFonts w:ascii="Times New Roman" w:hAnsi="Times New Roman" w:cs="Times New Roman"/>
                <w:b w:val="0"/>
                <w:sz w:val="24"/>
                <w:szCs w:val="24"/>
              </w:rPr>
              <w:t>Implementation of validity and reliability</w:t>
            </w:r>
          </w:p>
        </w:tc>
        <w:tc>
          <w:tcPr>
            <w:tcW w:w="2551" w:type="dxa"/>
            <w:tcBorders>
              <w:top w:val="nil"/>
              <w:bottom w:val="single" w:sz="4" w:space="0" w:color="auto"/>
            </w:tcBorders>
            <w:shd w:val="clear" w:color="auto" w:fill="auto"/>
          </w:tcPr>
          <w:p w14:paraId="4D7571F2" w14:textId="77777777" w:rsidR="00CF4068" w:rsidRPr="007637C9" w:rsidRDefault="00CF4068" w:rsidP="007503B5">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37C9">
              <w:rPr>
                <w:rFonts w:ascii="Times New Roman" w:hAnsi="Times New Roman" w:cs="Times New Roman"/>
                <w:sz w:val="24"/>
                <w:szCs w:val="24"/>
              </w:rPr>
              <w:t>4</w:t>
            </w:r>
          </w:p>
        </w:tc>
      </w:tr>
    </w:tbl>
    <w:p w14:paraId="1CCC4A73" w14:textId="55322B39" w:rsidR="00CF4068" w:rsidRDefault="00CF4068" w:rsidP="00CF4068">
      <w:pPr>
        <w:spacing w:after="120"/>
        <w:rPr>
          <w:rFonts w:ascii="Times New Roman" w:hAnsi="Times New Roman" w:cs="Times New Roman"/>
          <w:sz w:val="24"/>
          <w:szCs w:val="24"/>
        </w:rPr>
      </w:pPr>
    </w:p>
    <w:p w14:paraId="00B0FAEF" w14:textId="77777777" w:rsidR="0052530D" w:rsidRPr="007637C9" w:rsidRDefault="0052530D" w:rsidP="00CF4068">
      <w:pPr>
        <w:spacing w:after="120"/>
        <w:rPr>
          <w:rFonts w:ascii="Times New Roman" w:hAnsi="Times New Roman" w:cs="Times New Roman"/>
          <w:sz w:val="24"/>
          <w:szCs w:val="24"/>
        </w:rPr>
      </w:pPr>
    </w:p>
    <w:p w14:paraId="4AE93F5D" w14:textId="2D5326FB" w:rsidR="00CF4068" w:rsidRPr="007637C9" w:rsidRDefault="00CF4068" w:rsidP="00CF4068">
      <w:pPr>
        <w:spacing w:after="1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0B35E3" wp14:editId="6098879C">
            <wp:extent cx="5316705" cy="4500880"/>
            <wp:effectExtent l="0" t="0" r="0" b="0"/>
            <wp:docPr id="2" name="Picture 2"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9135" cy="4502937"/>
                    </a:xfrm>
                    <a:prstGeom prst="rect">
                      <a:avLst/>
                    </a:prstGeom>
                  </pic:spPr>
                </pic:pic>
              </a:graphicData>
            </a:graphic>
          </wp:inline>
        </w:drawing>
      </w:r>
    </w:p>
    <w:p w14:paraId="03F7FCED" w14:textId="0599951A" w:rsidR="00CF4068" w:rsidRPr="007637C9" w:rsidRDefault="00CF4068" w:rsidP="00CF4068">
      <w:pPr>
        <w:autoSpaceDE w:val="0"/>
        <w:autoSpaceDN w:val="0"/>
        <w:adjustRightInd w:val="0"/>
        <w:spacing w:after="120" w:line="240" w:lineRule="auto"/>
        <w:rPr>
          <w:rFonts w:ascii="Times New Roman" w:hAnsi="Times New Roman" w:cs="Times New Roman"/>
          <w:sz w:val="24"/>
          <w:szCs w:val="24"/>
        </w:rPr>
      </w:pPr>
      <w:r w:rsidRPr="007637C9">
        <w:rPr>
          <w:rFonts w:ascii="Times New Roman" w:hAnsi="Times New Roman" w:cs="Times New Roman"/>
          <w:sz w:val="24"/>
          <w:szCs w:val="24"/>
        </w:rPr>
        <w:t>Figure 1. Cluster membership of E</w:t>
      </w:r>
      <w:r>
        <w:rPr>
          <w:rFonts w:ascii="Times New Roman" w:hAnsi="Times New Roman" w:cs="Times New Roman"/>
          <w:sz w:val="24"/>
          <w:szCs w:val="24"/>
        </w:rPr>
        <w:t xml:space="preserve">ntrustable </w:t>
      </w:r>
      <w:r w:rsidRPr="007637C9">
        <w:rPr>
          <w:rFonts w:ascii="Times New Roman" w:hAnsi="Times New Roman" w:cs="Times New Roman"/>
          <w:sz w:val="24"/>
          <w:szCs w:val="24"/>
        </w:rPr>
        <w:t>P</w:t>
      </w:r>
      <w:r>
        <w:rPr>
          <w:rFonts w:ascii="Times New Roman" w:hAnsi="Times New Roman" w:cs="Times New Roman"/>
          <w:sz w:val="24"/>
          <w:szCs w:val="24"/>
        </w:rPr>
        <w:t xml:space="preserve">rofessional </w:t>
      </w:r>
      <w:r w:rsidRPr="007637C9">
        <w:rPr>
          <w:rFonts w:ascii="Times New Roman" w:hAnsi="Times New Roman" w:cs="Times New Roman"/>
          <w:sz w:val="24"/>
          <w:szCs w:val="24"/>
        </w:rPr>
        <w:t>A</w:t>
      </w:r>
      <w:r>
        <w:rPr>
          <w:rFonts w:ascii="Times New Roman" w:hAnsi="Times New Roman" w:cs="Times New Roman"/>
          <w:sz w:val="24"/>
          <w:szCs w:val="24"/>
        </w:rPr>
        <w:t>ctivities</w:t>
      </w:r>
      <w:r w:rsidRPr="007637C9">
        <w:rPr>
          <w:rFonts w:ascii="Times New Roman" w:hAnsi="Times New Roman" w:cs="Times New Roman"/>
          <w:sz w:val="24"/>
          <w:szCs w:val="24"/>
        </w:rPr>
        <w:t xml:space="preserve"> action statements.</w:t>
      </w:r>
    </w:p>
    <w:p w14:paraId="6C0DA4F7" w14:textId="6845B13B" w:rsidR="00D32E34" w:rsidRPr="00CF4068" w:rsidRDefault="00CF4068" w:rsidP="00CF4068">
      <w:pPr>
        <w:pStyle w:val="ListParagraph"/>
        <w:numPr>
          <w:ilvl w:val="0"/>
          <w:numId w:val="2"/>
        </w:numPr>
        <w:tabs>
          <w:tab w:val="left" w:pos="6840"/>
        </w:tabs>
        <w:spacing w:after="120" w:line="480" w:lineRule="auto"/>
      </w:pPr>
      <w:r>
        <w:rPr>
          <w:b/>
          <w:bCs/>
        </w:rPr>
        <w:lastRenderedPageBreak/>
        <w:t>D</w:t>
      </w:r>
      <w:r w:rsidR="00B60F2B" w:rsidRPr="00CF4068">
        <w:rPr>
          <w:b/>
          <w:bCs/>
        </w:rPr>
        <w:t>iscussion</w:t>
      </w:r>
    </w:p>
    <w:p w14:paraId="57603369" w14:textId="2BAAEC0F" w:rsidR="00B60F2B" w:rsidRPr="007637C9" w:rsidRDefault="00A603F3"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The aim of the paper was to describe the implementation of entrustable professional activities into the curriculum for Sport and Exercise Sciences undergraduate teaching in higher education.  </w:t>
      </w:r>
      <w:r w:rsidR="00E417EC" w:rsidRPr="007637C9">
        <w:rPr>
          <w:rFonts w:ascii="Times New Roman" w:hAnsi="Times New Roman" w:cs="Times New Roman"/>
          <w:sz w:val="24"/>
          <w:szCs w:val="24"/>
        </w:rPr>
        <w:t>To facilitate this,</w:t>
      </w:r>
      <w:r w:rsidR="00E67BC3" w:rsidRPr="007637C9">
        <w:rPr>
          <w:rFonts w:ascii="Times New Roman" w:hAnsi="Times New Roman" w:cs="Times New Roman"/>
          <w:sz w:val="24"/>
          <w:szCs w:val="24"/>
        </w:rPr>
        <w:t xml:space="preserve"> practical competencies </w:t>
      </w:r>
      <w:r w:rsidR="00E417EC" w:rsidRPr="007637C9">
        <w:rPr>
          <w:rFonts w:ascii="Times New Roman" w:hAnsi="Times New Roman" w:cs="Times New Roman"/>
          <w:sz w:val="24"/>
          <w:szCs w:val="24"/>
        </w:rPr>
        <w:t xml:space="preserve">were described </w:t>
      </w:r>
      <w:r w:rsidR="00E67BC3" w:rsidRPr="007637C9">
        <w:rPr>
          <w:rFonts w:ascii="Times New Roman" w:hAnsi="Times New Roman" w:cs="Times New Roman"/>
          <w:sz w:val="24"/>
          <w:szCs w:val="24"/>
        </w:rPr>
        <w:t xml:space="preserve">within an EPA framework linked to national body accreditation protocol. Additionally, the framework was assessed for learner worth through the ranking of competency importance by a group of undergraduate </w:t>
      </w:r>
      <w:r w:rsidR="005D54B1" w:rsidRPr="007637C9">
        <w:rPr>
          <w:rFonts w:ascii="Times New Roman" w:hAnsi="Times New Roman" w:cs="Times New Roman"/>
          <w:sz w:val="24"/>
          <w:szCs w:val="24"/>
        </w:rPr>
        <w:t>Sport and Exercise</w:t>
      </w:r>
      <w:r w:rsidR="00E67BC3" w:rsidRPr="007637C9">
        <w:rPr>
          <w:rFonts w:ascii="Times New Roman" w:hAnsi="Times New Roman" w:cs="Times New Roman"/>
          <w:sz w:val="24"/>
          <w:szCs w:val="24"/>
        </w:rPr>
        <w:t xml:space="preserve"> Sciences students.</w:t>
      </w:r>
    </w:p>
    <w:p w14:paraId="33E1430D" w14:textId="68749CE0" w:rsidR="00616AA9" w:rsidRPr="007637C9" w:rsidRDefault="00340B1B"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An </w:t>
      </w:r>
      <w:r w:rsidR="00E8176A" w:rsidRPr="007637C9">
        <w:rPr>
          <w:rFonts w:ascii="Times New Roman" w:hAnsi="Times New Roman" w:cs="Times New Roman"/>
          <w:sz w:val="24"/>
          <w:szCs w:val="24"/>
        </w:rPr>
        <w:t>EPA</w:t>
      </w:r>
      <w:r w:rsidRPr="007637C9">
        <w:rPr>
          <w:rFonts w:ascii="Times New Roman" w:hAnsi="Times New Roman" w:cs="Times New Roman"/>
          <w:sz w:val="24"/>
          <w:szCs w:val="24"/>
        </w:rPr>
        <w:t xml:space="preserve"> framework was created based on the BASES Accreditation competency profile and implemented into an undergraduate Sport </w:t>
      </w:r>
      <w:r w:rsidR="005D54B1" w:rsidRPr="007637C9">
        <w:rPr>
          <w:rFonts w:ascii="Times New Roman" w:hAnsi="Times New Roman" w:cs="Times New Roman"/>
          <w:sz w:val="24"/>
          <w:szCs w:val="24"/>
        </w:rPr>
        <w:t>and</w:t>
      </w:r>
      <w:r w:rsidRPr="007637C9">
        <w:rPr>
          <w:rFonts w:ascii="Times New Roman" w:hAnsi="Times New Roman" w:cs="Times New Roman"/>
          <w:sz w:val="24"/>
          <w:szCs w:val="24"/>
        </w:rPr>
        <w:t xml:space="preserve"> Exercise Sciences module. EPAs are a modern and updated version of competency-based medical education that utilise specific tasks as a pedagogic approach to develop student abilities. EPAs can be termed units of professional practice and links competencies to work-based actions in an integrated process.  In the current paper the framework was defined as a competency matrix, with competency statements linked to one of three desired attributes, as EPAs were not related to specific tasks and were designed to cover </w:t>
      </w:r>
      <w:proofErr w:type="gramStart"/>
      <w:r w:rsidRPr="007637C9">
        <w:rPr>
          <w:rFonts w:ascii="Times New Roman" w:hAnsi="Times New Roman" w:cs="Times New Roman"/>
          <w:sz w:val="24"/>
          <w:szCs w:val="24"/>
        </w:rPr>
        <w:t>all of</w:t>
      </w:r>
      <w:proofErr w:type="gramEnd"/>
      <w:r w:rsidRPr="007637C9">
        <w:rPr>
          <w:rFonts w:ascii="Times New Roman" w:hAnsi="Times New Roman" w:cs="Times New Roman"/>
          <w:sz w:val="24"/>
          <w:szCs w:val="24"/>
        </w:rPr>
        <w:t xml:space="preserve"> the different tests included in the module.  </w:t>
      </w:r>
      <w:r w:rsidR="00616AA9" w:rsidRPr="007637C9">
        <w:rPr>
          <w:rFonts w:ascii="Times New Roman" w:hAnsi="Times New Roman" w:cs="Times New Roman"/>
          <w:sz w:val="24"/>
          <w:szCs w:val="24"/>
        </w:rPr>
        <w:t>The</w:t>
      </w:r>
      <w:r w:rsidRPr="007637C9">
        <w:rPr>
          <w:rFonts w:ascii="Times New Roman" w:hAnsi="Times New Roman" w:cs="Times New Roman"/>
          <w:sz w:val="24"/>
          <w:szCs w:val="24"/>
        </w:rPr>
        <w:t>refore</w:t>
      </w:r>
      <w:r w:rsidR="00714FE3" w:rsidRPr="007637C9">
        <w:rPr>
          <w:rFonts w:ascii="Times New Roman" w:hAnsi="Times New Roman" w:cs="Times New Roman"/>
          <w:sz w:val="24"/>
          <w:szCs w:val="24"/>
        </w:rPr>
        <w:t>,</w:t>
      </w:r>
      <w:r w:rsidRPr="007637C9">
        <w:rPr>
          <w:rFonts w:ascii="Times New Roman" w:hAnsi="Times New Roman" w:cs="Times New Roman"/>
          <w:sz w:val="24"/>
          <w:szCs w:val="24"/>
        </w:rPr>
        <w:t xml:space="preserve"> the </w:t>
      </w:r>
      <w:r w:rsidR="00616AA9" w:rsidRPr="007637C9">
        <w:rPr>
          <w:rFonts w:ascii="Times New Roman" w:hAnsi="Times New Roman" w:cs="Times New Roman"/>
          <w:sz w:val="24"/>
          <w:szCs w:val="24"/>
        </w:rPr>
        <w:t>EPA</w:t>
      </w:r>
      <w:r w:rsidRPr="007637C9">
        <w:rPr>
          <w:rFonts w:ascii="Times New Roman" w:hAnsi="Times New Roman" w:cs="Times New Roman"/>
          <w:sz w:val="24"/>
          <w:szCs w:val="24"/>
        </w:rPr>
        <w:t xml:space="preserve"> framework</w:t>
      </w:r>
      <w:r w:rsidR="00616AA9" w:rsidRPr="007637C9">
        <w:rPr>
          <w:rFonts w:ascii="Times New Roman" w:hAnsi="Times New Roman" w:cs="Times New Roman"/>
          <w:sz w:val="24"/>
          <w:szCs w:val="24"/>
        </w:rPr>
        <w:t xml:space="preserve"> described</w:t>
      </w:r>
      <w:r w:rsidR="00E417EC" w:rsidRPr="007637C9">
        <w:rPr>
          <w:rFonts w:ascii="Times New Roman" w:hAnsi="Times New Roman" w:cs="Times New Roman"/>
          <w:sz w:val="24"/>
          <w:szCs w:val="24"/>
        </w:rPr>
        <w:t xml:space="preserve"> </w:t>
      </w:r>
      <w:r w:rsidR="00616AA9" w:rsidRPr="007637C9">
        <w:rPr>
          <w:rFonts w:ascii="Times New Roman" w:hAnsi="Times New Roman" w:cs="Times New Roman"/>
          <w:sz w:val="24"/>
          <w:szCs w:val="24"/>
        </w:rPr>
        <w:t xml:space="preserve">attributes the students should display, rather than specific </w:t>
      </w:r>
      <w:r w:rsidR="005D54B1" w:rsidRPr="007637C9">
        <w:rPr>
          <w:rFonts w:ascii="Times New Roman" w:hAnsi="Times New Roman" w:cs="Times New Roman"/>
          <w:sz w:val="24"/>
          <w:szCs w:val="24"/>
        </w:rPr>
        <w:t>Sport and Exercise</w:t>
      </w:r>
      <w:r w:rsidR="00616AA9" w:rsidRPr="007637C9">
        <w:rPr>
          <w:rFonts w:ascii="Times New Roman" w:hAnsi="Times New Roman" w:cs="Times New Roman"/>
          <w:sz w:val="24"/>
          <w:szCs w:val="24"/>
        </w:rPr>
        <w:t xml:space="preserve"> Science activities the student should perform to show competence.  Key tests and protocols need to be identified that a Sport Scientist would be expected to perform. For example, this may include “perform a maximal aerobic assessment”</w:t>
      </w:r>
      <w:r w:rsidR="000767B7" w:rsidRPr="007637C9">
        <w:rPr>
          <w:rFonts w:ascii="Times New Roman" w:hAnsi="Times New Roman" w:cs="Times New Roman"/>
          <w:sz w:val="24"/>
          <w:szCs w:val="24"/>
        </w:rPr>
        <w:t>,</w:t>
      </w:r>
      <w:r w:rsidR="00616AA9" w:rsidRPr="007637C9">
        <w:rPr>
          <w:rFonts w:ascii="Times New Roman" w:hAnsi="Times New Roman" w:cs="Times New Roman"/>
          <w:sz w:val="24"/>
          <w:szCs w:val="24"/>
        </w:rPr>
        <w:t xml:space="preserve"> “perform a vertical jump assessment”</w:t>
      </w:r>
      <w:r w:rsidR="000767B7" w:rsidRPr="007637C9">
        <w:rPr>
          <w:rFonts w:ascii="Times New Roman" w:hAnsi="Times New Roman" w:cs="Times New Roman"/>
          <w:sz w:val="24"/>
          <w:szCs w:val="24"/>
        </w:rPr>
        <w:t>,</w:t>
      </w:r>
      <w:r w:rsidR="00616AA9" w:rsidRPr="007637C9">
        <w:rPr>
          <w:rFonts w:ascii="Times New Roman" w:hAnsi="Times New Roman" w:cs="Times New Roman"/>
          <w:sz w:val="24"/>
          <w:szCs w:val="24"/>
        </w:rPr>
        <w:t xml:space="preserve"> “accurately take skinfold body fat measures”</w:t>
      </w:r>
      <w:r w:rsidR="000767B7" w:rsidRPr="007637C9">
        <w:rPr>
          <w:rFonts w:ascii="Times New Roman" w:hAnsi="Times New Roman" w:cs="Times New Roman"/>
          <w:sz w:val="24"/>
          <w:szCs w:val="24"/>
        </w:rPr>
        <w:t>, or “conduct a patient centred, holistic, pre-exercise health assessment”</w:t>
      </w:r>
      <w:r w:rsidR="00616AA9" w:rsidRPr="007637C9">
        <w:rPr>
          <w:rFonts w:ascii="Times New Roman" w:hAnsi="Times New Roman" w:cs="Times New Roman"/>
          <w:sz w:val="24"/>
          <w:szCs w:val="24"/>
        </w:rPr>
        <w:t xml:space="preserve"> and are dependent on the specific discipline within </w:t>
      </w:r>
      <w:r w:rsidR="005D54B1" w:rsidRPr="007637C9">
        <w:rPr>
          <w:rFonts w:ascii="Times New Roman" w:hAnsi="Times New Roman" w:cs="Times New Roman"/>
          <w:sz w:val="24"/>
          <w:szCs w:val="24"/>
        </w:rPr>
        <w:t>Sport and Exercise</w:t>
      </w:r>
      <w:r w:rsidR="00616AA9" w:rsidRPr="007637C9">
        <w:rPr>
          <w:rFonts w:ascii="Times New Roman" w:hAnsi="Times New Roman" w:cs="Times New Roman"/>
          <w:sz w:val="24"/>
          <w:szCs w:val="24"/>
        </w:rPr>
        <w:t xml:space="preserve"> Sciences.  This is a common approach to developing useful EPA</w:t>
      </w:r>
      <w:r w:rsidR="00E95E4D" w:rsidRPr="007637C9">
        <w:rPr>
          <w:rFonts w:ascii="Times New Roman" w:hAnsi="Times New Roman" w:cs="Times New Roman"/>
          <w:sz w:val="24"/>
          <w:szCs w:val="24"/>
        </w:rPr>
        <w:t>s</w:t>
      </w:r>
      <w:r w:rsidR="00616AA9" w:rsidRPr="007637C9">
        <w:rPr>
          <w:rFonts w:ascii="Times New Roman" w:hAnsi="Times New Roman" w:cs="Times New Roman"/>
          <w:sz w:val="24"/>
          <w:szCs w:val="24"/>
        </w:rPr>
        <w:t xml:space="preserve">, as seen in intensive care medicine training in the Netherlands (van </w:t>
      </w:r>
      <w:proofErr w:type="spellStart"/>
      <w:r w:rsidR="00616AA9" w:rsidRPr="007637C9">
        <w:rPr>
          <w:rFonts w:ascii="Times New Roman" w:hAnsi="Times New Roman" w:cs="Times New Roman"/>
          <w:sz w:val="24"/>
          <w:szCs w:val="24"/>
        </w:rPr>
        <w:t>Bockel</w:t>
      </w:r>
      <w:proofErr w:type="spellEnd"/>
      <w:r w:rsidR="00616AA9" w:rsidRPr="007637C9">
        <w:rPr>
          <w:rFonts w:ascii="Times New Roman" w:hAnsi="Times New Roman" w:cs="Times New Roman"/>
          <w:sz w:val="24"/>
          <w:szCs w:val="24"/>
        </w:rPr>
        <w:t xml:space="preserve"> et al., 2019) and is the starting point of the EPA framework set out by Smith (2019).  </w:t>
      </w:r>
      <w:r w:rsidRPr="007637C9">
        <w:rPr>
          <w:rFonts w:ascii="Times New Roman" w:hAnsi="Times New Roman" w:cs="Times New Roman"/>
          <w:sz w:val="24"/>
          <w:szCs w:val="24"/>
        </w:rPr>
        <w:t>To further develop an EPA framework to overcome this issue, i</w:t>
      </w:r>
      <w:r w:rsidR="00616AA9" w:rsidRPr="007637C9">
        <w:rPr>
          <w:rFonts w:ascii="Times New Roman" w:hAnsi="Times New Roman" w:cs="Times New Roman"/>
          <w:sz w:val="24"/>
          <w:szCs w:val="24"/>
        </w:rPr>
        <w:t xml:space="preserve">t would be beneficial to form expert groups from within </w:t>
      </w:r>
      <w:r w:rsidR="00616AA9" w:rsidRPr="007637C9">
        <w:rPr>
          <w:rFonts w:ascii="Times New Roman" w:hAnsi="Times New Roman" w:cs="Times New Roman"/>
          <w:sz w:val="24"/>
          <w:szCs w:val="24"/>
        </w:rPr>
        <w:lastRenderedPageBreak/>
        <w:t xml:space="preserve">each discipline to create a list of these key activities and then assess the quality and appropriateness of each EPA. </w:t>
      </w:r>
      <w:r w:rsidR="00D74B3E" w:rsidRPr="007637C9">
        <w:rPr>
          <w:rFonts w:ascii="Times New Roman" w:hAnsi="Times New Roman" w:cs="Times New Roman"/>
          <w:sz w:val="24"/>
          <w:szCs w:val="24"/>
        </w:rPr>
        <w:t>The use of Delphi method</w:t>
      </w:r>
      <w:r w:rsidR="005E29A5" w:rsidRPr="007637C9">
        <w:rPr>
          <w:rFonts w:ascii="Times New Roman" w:hAnsi="Times New Roman" w:cs="Times New Roman"/>
          <w:sz w:val="24"/>
          <w:szCs w:val="24"/>
        </w:rPr>
        <w:t>, which is iterative process to achieve consensus from</w:t>
      </w:r>
      <w:r w:rsidR="00643A70" w:rsidRPr="007637C9">
        <w:rPr>
          <w:rFonts w:ascii="Times New Roman" w:hAnsi="Times New Roman" w:cs="Times New Roman"/>
          <w:sz w:val="24"/>
          <w:szCs w:val="24"/>
        </w:rPr>
        <w:t xml:space="preserve"> experts</w:t>
      </w:r>
      <w:r w:rsidR="00D74B3E" w:rsidRPr="007637C9">
        <w:rPr>
          <w:rFonts w:ascii="Times New Roman" w:hAnsi="Times New Roman" w:cs="Times New Roman"/>
          <w:sz w:val="24"/>
          <w:szCs w:val="24"/>
        </w:rPr>
        <w:t xml:space="preserve"> </w:t>
      </w:r>
      <w:r w:rsidR="007D692B" w:rsidRPr="007637C9">
        <w:rPr>
          <w:rFonts w:ascii="Times New Roman" w:hAnsi="Times New Roman" w:cs="Times New Roman"/>
          <w:sz w:val="24"/>
          <w:szCs w:val="24"/>
        </w:rPr>
        <w:t xml:space="preserve">could be implemented to </w:t>
      </w:r>
      <w:r w:rsidR="00B14105" w:rsidRPr="007637C9">
        <w:rPr>
          <w:rFonts w:ascii="Times New Roman" w:hAnsi="Times New Roman" w:cs="Times New Roman"/>
          <w:sz w:val="24"/>
          <w:szCs w:val="24"/>
        </w:rPr>
        <w:t>achieve this</w:t>
      </w:r>
      <w:r w:rsidR="008D7452" w:rsidRPr="007637C9">
        <w:rPr>
          <w:rFonts w:ascii="Times New Roman" w:hAnsi="Times New Roman" w:cs="Times New Roman"/>
          <w:sz w:val="24"/>
          <w:szCs w:val="24"/>
        </w:rPr>
        <w:t xml:space="preserve"> (Wagner and </w:t>
      </w:r>
      <w:r w:rsidR="00BC5D44" w:rsidRPr="007637C9">
        <w:rPr>
          <w:rFonts w:ascii="Times New Roman" w:hAnsi="Times New Roman" w:cs="Times New Roman"/>
          <w:sz w:val="24"/>
          <w:szCs w:val="24"/>
        </w:rPr>
        <w:t>R</w:t>
      </w:r>
      <w:r w:rsidR="008D7452" w:rsidRPr="007637C9">
        <w:rPr>
          <w:rFonts w:ascii="Times New Roman" w:hAnsi="Times New Roman" w:cs="Times New Roman"/>
          <w:sz w:val="24"/>
          <w:szCs w:val="24"/>
        </w:rPr>
        <w:t>eeves</w:t>
      </w:r>
      <w:r w:rsidR="00BC5D44" w:rsidRPr="007637C9">
        <w:rPr>
          <w:rFonts w:ascii="Times New Roman" w:hAnsi="Times New Roman" w:cs="Times New Roman"/>
          <w:sz w:val="24"/>
          <w:szCs w:val="24"/>
        </w:rPr>
        <w:t>,</w:t>
      </w:r>
      <w:r w:rsidR="008D7452" w:rsidRPr="007637C9">
        <w:rPr>
          <w:rFonts w:ascii="Times New Roman" w:hAnsi="Times New Roman" w:cs="Times New Roman"/>
          <w:sz w:val="24"/>
          <w:szCs w:val="24"/>
        </w:rPr>
        <w:t xml:space="preserve"> </w:t>
      </w:r>
      <w:r w:rsidR="009E16C0" w:rsidRPr="007637C9">
        <w:rPr>
          <w:rFonts w:ascii="Times New Roman" w:hAnsi="Times New Roman" w:cs="Times New Roman"/>
          <w:sz w:val="24"/>
          <w:szCs w:val="24"/>
        </w:rPr>
        <w:t>2015)</w:t>
      </w:r>
      <w:r w:rsidR="00B14105" w:rsidRPr="007637C9">
        <w:rPr>
          <w:rFonts w:ascii="Times New Roman" w:hAnsi="Times New Roman" w:cs="Times New Roman"/>
          <w:sz w:val="24"/>
          <w:szCs w:val="24"/>
        </w:rPr>
        <w:t>.</w:t>
      </w:r>
      <w:r w:rsidR="00D74B3E" w:rsidRPr="007637C9">
        <w:rPr>
          <w:rFonts w:ascii="Times New Roman" w:hAnsi="Times New Roman" w:cs="Times New Roman"/>
          <w:sz w:val="24"/>
          <w:szCs w:val="24"/>
        </w:rPr>
        <w:t xml:space="preserve"> </w:t>
      </w:r>
      <w:r w:rsidRPr="007637C9">
        <w:rPr>
          <w:rFonts w:ascii="Times New Roman" w:hAnsi="Times New Roman" w:cs="Times New Roman"/>
          <w:sz w:val="24"/>
          <w:szCs w:val="24"/>
        </w:rPr>
        <w:t>However, o</w:t>
      </w:r>
      <w:r w:rsidR="00616AA9" w:rsidRPr="007637C9">
        <w:rPr>
          <w:rFonts w:ascii="Times New Roman" w:hAnsi="Times New Roman" w:cs="Times New Roman"/>
          <w:sz w:val="24"/>
          <w:szCs w:val="24"/>
        </w:rPr>
        <w:t>ne of the primary barriers to this</w:t>
      </w:r>
      <w:r w:rsidR="00682A67" w:rsidRPr="007637C9">
        <w:rPr>
          <w:rFonts w:ascii="Times New Roman" w:hAnsi="Times New Roman" w:cs="Times New Roman"/>
          <w:sz w:val="24"/>
          <w:szCs w:val="24"/>
        </w:rPr>
        <w:t xml:space="preserve"> framework development</w:t>
      </w:r>
      <w:r w:rsidR="00616AA9" w:rsidRPr="007637C9">
        <w:rPr>
          <w:rFonts w:ascii="Times New Roman" w:hAnsi="Times New Roman" w:cs="Times New Roman"/>
          <w:sz w:val="24"/>
          <w:szCs w:val="24"/>
        </w:rPr>
        <w:t xml:space="preserve"> is </w:t>
      </w:r>
      <w:r w:rsidR="00DD1D8A">
        <w:rPr>
          <w:rFonts w:ascii="Times New Roman" w:hAnsi="Times New Roman" w:cs="Times New Roman"/>
          <w:sz w:val="24"/>
          <w:szCs w:val="24"/>
        </w:rPr>
        <w:t xml:space="preserve">that </w:t>
      </w:r>
      <w:r w:rsidR="00616AA9" w:rsidRPr="007637C9">
        <w:rPr>
          <w:rFonts w:ascii="Times New Roman" w:hAnsi="Times New Roman" w:cs="Times New Roman"/>
          <w:sz w:val="24"/>
          <w:szCs w:val="24"/>
        </w:rPr>
        <w:t xml:space="preserve">the description of the criteria for the BASES Accreditation </w:t>
      </w:r>
      <w:r w:rsidR="00557E0C" w:rsidRPr="007637C9">
        <w:rPr>
          <w:rFonts w:ascii="Times New Roman" w:hAnsi="Times New Roman" w:cs="Times New Roman"/>
          <w:sz w:val="24"/>
          <w:szCs w:val="24"/>
        </w:rPr>
        <w:t>is</w:t>
      </w:r>
      <w:r w:rsidR="00616AA9" w:rsidRPr="007637C9">
        <w:rPr>
          <w:rFonts w:ascii="Times New Roman" w:hAnsi="Times New Roman" w:cs="Times New Roman"/>
          <w:sz w:val="24"/>
          <w:szCs w:val="24"/>
        </w:rPr>
        <w:t xml:space="preserve"> flexible and </w:t>
      </w:r>
      <w:r w:rsidR="00DD1D8A">
        <w:rPr>
          <w:rFonts w:ascii="Times New Roman" w:hAnsi="Times New Roman" w:cs="Times New Roman"/>
          <w:sz w:val="24"/>
          <w:szCs w:val="24"/>
        </w:rPr>
        <w:t xml:space="preserve">this </w:t>
      </w:r>
      <w:r w:rsidR="00616AA9" w:rsidRPr="007637C9">
        <w:rPr>
          <w:rFonts w:ascii="Times New Roman" w:hAnsi="Times New Roman" w:cs="Times New Roman"/>
          <w:sz w:val="24"/>
          <w:szCs w:val="24"/>
        </w:rPr>
        <w:t>allow</w:t>
      </w:r>
      <w:r w:rsidR="00DD1D8A">
        <w:rPr>
          <w:rFonts w:ascii="Times New Roman" w:hAnsi="Times New Roman" w:cs="Times New Roman"/>
          <w:sz w:val="24"/>
          <w:szCs w:val="24"/>
        </w:rPr>
        <w:t>s</w:t>
      </w:r>
      <w:r w:rsidR="00616AA9" w:rsidRPr="007637C9">
        <w:rPr>
          <w:rFonts w:ascii="Times New Roman" w:hAnsi="Times New Roman" w:cs="Times New Roman"/>
          <w:sz w:val="24"/>
          <w:szCs w:val="24"/>
        </w:rPr>
        <w:t xml:space="preserve"> interpretation by practitioners and institutions as to what can and should be included </w:t>
      </w:r>
      <w:r w:rsidR="00DD1D8A">
        <w:rPr>
          <w:rFonts w:ascii="Times New Roman" w:hAnsi="Times New Roman" w:cs="Times New Roman"/>
          <w:sz w:val="24"/>
          <w:szCs w:val="24"/>
        </w:rPr>
        <w:t>as</w:t>
      </w:r>
      <w:r w:rsidR="00616AA9" w:rsidRPr="007637C9">
        <w:rPr>
          <w:rFonts w:ascii="Times New Roman" w:hAnsi="Times New Roman" w:cs="Times New Roman"/>
          <w:sz w:val="24"/>
          <w:szCs w:val="24"/>
        </w:rPr>
        <w:t xml:space="preserve"> evidence and allow</w:t>
      </w:r>
      <w:r w:rsidR="00DD1D8A">
        <w:rPr>
          <w:rFonts w:ascii="Times New Roman" w:hAnsi="Times New Roman" w:cs="Times New Roman"/>
          <w:sz w:val="24"/>
          <w:szCs w:val="24"/>
        </w:rPr>
        <w:t>s</w:t>
      </w:r>
      <w:r w:rsidR="00616AA9" w:rsidRPr="007637C9">
        <w:rPr>
          <w:rFonts w:ascii="Times New Roman" w:hAnsi="Times New Roman" w:cs="Times New Roman"/>
          <w:sz w:val="24"/>
          <w:szCs w:val="24"/>
        </w:rPr>
        <w:t xml:space="preserve"> specialisation.  It may be appropriate for the national body to define their criteria more specifically </w:t>
      </w:r>
      <w:proofErr w:type="gramStart"/>
      <w:r w:rsidR="00616AA9" w:rsidRPr="007637C9">
        <w:rPr>
          <w:rFonts w:ascii="Times New Roman" w:hAnsi="Times New Roman" w:cs="Times New Roman"/>
          <w:sz w:val="24"/>
          <w:szCs w:val="24"/>
        </w:rPr>
        <w:t>as a way to</w:t>
      </w:r>
      <w:proofErr w:type="gramEnd"/>
      <w:r w:rsidR="00616AA9" w:rsidRPr="007637C9">
        <w:rPr>
          <w:rFonts w:ascii="Times New Roman" w:hAnsi="Times New Roman" w:cs="Times New Roman"/>
          <w:sz w:val="24"/>
          <w:szCs w:val="24"/>
        </w:rPr>
        <w:t xml:space="preserve"> promote or facilitate the creation of suitable EPA</w:t>
      </w:r>
      <w:r w:rsidR="005D54B1" w:rsidRPr="007637C9">
        <w:rPr>
          <w:rFonts w:ascii="Times New Roman" w:hAnsi="Times New Roman" w:cs="Times New Roman"/>
          <w:sz w:val="24"/>
          <w:szCs w:val="24"/>
        </w:rPr>
        <w:t>s</w:t>
      </w:r>
      <w:r w:rsidR="00616AA9" w:rsidRPr="007637C9">
        <w:rPr>
          <w:rFonts w:ascii="Times New Roman" w:hAnsi="Times New Roman" w:cs="Times New Roman"/>
          <w:sz w:val="24"/>
          <w:szCs w:val="24"/>
        </w:rPr>
        <w:t xml:space="preserve"> for use within </w:t>
      </w:r>
      <w:r w:rsidR="005D54B1" w:rsidRPr="007637C9">
        <w:rPr>
          <w:rFonts w:ascii="Times New Roman" w:hAnsi="Times New Roman" w:cs="Times New Roman"/>
          <w:sz w:val="24"/>
          <w:szCs w:val="24"/>
        </w:rPr>
        <w:t>Sport and Exercise</w:t>
      </w:r>
      <w:r w:rsidR="00616AA9" w:rsidRPr="007637C9">
        <w:rPr>
          <w:rFonts w:ascii="Times New Roman" w:hAnsi="Times New Roman" w:cs="Times New Roman"/>
          <w:sz w:val="24"/>
          <w:szCs w:val="24"/>
        </w:rPr>
        <w:t xml:space="preserve"> Sciences</w:t>
      </w:r>
      <w:r w:rsidR="00A3683B" w:rsidRPr="007637C9">
        <w:rPr>
          <w:rFonts w:ascii="Times New Roman" w:hAnsi="Times New Roman" w:cs="Times New Roman"/>
          <w:sz w:val="24"/>
          <w:szCs w:val="24"/>
        </w:rPr>
        <w:t>.</w:t>
      </w:r>
      <w:r w:rsidR="00616AA9" w:rsidRPr="007637C9">
        <w:rPr>
          <w:rFonts w:ascii="Times New Roman" w:hAnsi="Times New Roman" w:cs="Times New Roman"/>
          <w:sz w:val="24"/>
          <w:szCs w:val="24"/>
        </w:rPr>
        <w:t xml:space="preserve"> </w:t>
      </w:r>
      <w:r w:rsidR="0060573A" w:rsidRPr="007637C9">
        <w:rPr>
          <w:rFonts w:ascii="Times New Roman" w:hAnsi="Times New Roman" w:cs="Times New Roman"/>
          <w:sz w:val="24"/>
          <w:szCs w:val="24"/>
        </w:rPr>
        <w:t>This was performed by</w:t>
      </w:r>
      <w:r w:rsidR="00616AA9" w:rsidRPr="007637C9">
        <w:rPr>
          <w:rFonts w:ascii="Times New Roman" w:hAnsi="Times New Roman" w:cs="Times New Roman"/>
          <w:sz w:val="24"/>
          <w:szCs w:val="24"/>
        </w:rPr>
        <w:t xml:space="preserve"> the Association of American Medical Colleges (</w:t>
      </w:r>
      <w:proofErr w:type="spellStart"/>
      <w:r w:rsidR="00616AA9" w:rsidRPr="007637C9">
        <w:rPr>
          <w:rFonts w:ascii="Times New Roman" w:hAnsi="Times New Roman" w:cs="Times New Roman"/>
          <w:sz w:val="24"/>
          <w:szCs w:val="24"/>
        </w:rPr>
        <w:t>Obeso</w:t>
      </w:r>
      <w:proofErr w:type="spellEnd"/>
      <w:r w:rsidR="00616AA9" w:rsidRPr="007637C9">
        <w:rPr>
          <w:rFonts w:ascii="Times New Roman" w:hAnsi="Times New Roman" w:cs="Times New Roman"/>
          <w:sz w:val="24"/>
          <w:szCs w:val="24"/>
        </w:rPr>
        <w:t xml:space="preserve"> et al., 2017), the Accreditation Council for Graduate Medical Education in the USA (</w:t>
      </w:r>
      <w:proofErr w:type="spellStart"/>
      <w:r w:rsidR="00616AA9" w:rsidRPr="007637C9">
        <w:rPr>
          <w:rFonts w:ascii="Times New Roman" w:hAnsi="Times New Roman" w:cs="Times New Roman"/>
          <w:sz w:val="24"/>
          <w:szCs w:val="24"/>
        </w:rPr>
        <w:t>Krupat</w:t>
      </w:r>
      <w:proofErr w:type="spellEnd"/>
      <w:r w:rsidR="00616AA9" w:rsidRPr="007637C9">
        <w:rPr>
          <w:rFonts w:ascii="Times New Roman" w:hAnsi="Times New Roman" w:cs="Times New Roman"/>
          <w:sz w:val="24"/>
          <w:szCs w:val="24"/>
        </w:rPr>
        <w:t xml:space="preserve">, 2018), or the Association for Medical Education in Europe (ten Cate et al., 2015).  </w:t>
      </w:r>
      <w:r w:rsidR="00557E0C" w:rsidRPr="007637C9">
        <w:rPr>
          <w:rFonts w:ascii="Times New Roman" w:hAnsi="Times New Roman" w:cs="Times New Roman"/>
          <w:sz w:val="24"/>
          <w:szCs w:val="24"/>
        </w:rPr>
        <w:t xml:space="preserve">Additionally, the General Medical Council in the UK provide guidance to the set of practical skills and procedures that newly qualified doctors must have on commencement of work. https://www.gmc-uk.org/education/standards-guidance-and-curricula/standards-and-outcomes/outcomes-for-graduates/outcomes-for-graduates---practical-skills-and-procedures) Importantly this guidance relates to a minimum level of performance based on three levels of competence and the ability to practice under decreasing levels of supervision, </w:t>
      </w:r>
      <w:proofErr w:type="gramStart"/>
      <w:r w:rsidR="00557E0C" w:rsidRPr="007637C9">
        <w:rPr>
          <w:rFonts w:ascii="Times New Roman" w:hAnsi="Times New Roman" w:cs="Times New Roman"/>
          <w:sz w:val="24"/>
          <w:szCs w:val="24"/>
        </w:rPr>
        <w:t>similar to</w:t>
      </w:r>
      <w:proofErr w:type="gramEnd"/>
      <w:r w:rsidR="00557E0C" w:rsidRPr="007637C9">
        <w:rPr>
          <w:rFonts w:ascii="Times New Roman" w:hAnsi="Times New Roman" w:cs="Times New Roman"/>
          <w:sz w:val="24"/>
          <w:szCs w:val="24"/>
        </w:rPr>
        <w:t xml:space="preserve"> the core tenant of EPAs.  </w:t>
      </w:r>
      <w:r w:rsidR="00616AA9" w:rsidRPr="007637C9">
        <w:rPr>
          <w:rFonts w:ascii="Times New Roman" w:hAnsi="Times New Roman" w:cs="Times New Roman"/>
          <w:sz w:val="24"/>
          <w:szCs w:val="24"/>
        </w:rPr>
        <w:t xml:space="preserve">These national associations provide clear guidance and </w:t>
      </w:r>
      <w:proofErr w:type="gramStart"/>
      <w:r w:rsidR="00616AA9" w:rsidRPr="007637C9">
        <w:rPr>
          <w:rFonts w:ascii="Times New Roman" w:hAnsi="Times New Roman" w:cs="Times New Roman"/>
          <w:sz w:val="24"/>
          <w:szCs w:val="24"/>
        </w:rPr>
        <w:t>accepted</w:t>
      </w:r>
      <w:proofErr w:type="gramEnd"/>
      <w:r w:rsidR="00616AA9" w:rsidRPr="007637C9">
        <w:rPr>
          <w:rFonts w:ascii="Times New Roman" w:hAnsi="Times New Roman" w:cs="Times New Roman"/>
          <w:sz w:val="24"/>
          <w:szCs w:val="24"/>
        </w:rPr>
        <w:t xml:space="preserve"> clinical activities that graduate medical students should be able to perform without supervision and provide the basis for the EPA in medical sub-disciplines.</w:t>
      </w:r>
    </w:p>
    <w:p w14:paraId="72DF3273" w14:textId="4060A844" w:rsidR="00616AA9" w:rsidRPr="007637C9" w:rsidRDefault="00616AA9"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Initial construction of the EPA</w:t>
      </w:r>
      <w:r w:rsidR="00340B1B" w:rsidRPr="007637C9">
        <w:rPr>
          <w:rFonts w:ascii="Times New Roman" w:hAnsi="Times New Roman" w:cs="Times New Roman"/>
          <w:sz w:val="24"/>
          <w:szCs w:val="24"/>
        </w:rPr>
        <w:t xml:space="preserve"> framework</w:t>
      </w:r>
      <w:r w:rsidRPr="007637C9">
        <w:rPr>
          <w:rFonts w:ascii="Times New Roman" w:hAnsi="Times New Roman" w:cs="Times New Roman"/>
          <w:sz w:val="24"/>
          <w:szCs w:val="24"/>
        </w:rPr>
        <w:t xml:space="preserve"> aligned statements to one of three areas within the competency matrix (</w:t>
      </w:r>
      <w:r w:rsidR="00D07467" w:rsidRPr="007637C9">
        <w:rPr>
          <w:rFonts w:ascii="Times New Roman" w:hAnsi="Times New Roman" w:cs="Times New Roman"/>
          <w:sz w:val="24"/>
          <w:szCs w:val="24"/>
        </w:rPr>
        <w:t>‘</w:t>
      </w:r>
      <w:r w:rsidRPr="007637C9">
        <w:rPr>
          <w:rFonts w:ascii="Times New Roman" w:hAnsi="Times New Roman" w:cs="Times New Roman"/>
          <w:sz w:val="24"/>
          <w:szCs w:val="24"/>
        </w:rPr>
        <w:t>Effective Implementation</w:t>
      </w:r>
      <w:r w:rsidR="00D07467"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D07467" w:rsidRPr="007637C9">
        <w:rPr>
          <w:rFonts w:ascii="Times New Roman" w:hAnsi="Times New Roman" w:cs="Times New Roman"/>
          <w:sz w:val="24"/>
          <w:szCs w:val="24"/>
        </w:rPr>
        <w:t>‘</w:t>
      </w:r>
      <w:r w:rsidRPr="007637C9">
        <w:rPr>
          <w:rFonts w:ascii="Times New Roman" w:hAnsi="Times New Roman" w:cs="Times New Roman"/>
          <w:sz w:val="24"/>
          <w:szCs w:val="24"/>
        </w:rPr>
        <w:t>Evaluation of Practice</w:t>
      </w:r>
      <w:r w:rsidR="00D07467"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D07467" w:rsidRPr="007637C9">
        <w:rPr>
          <w:rFonts w:ascii="Times New Roman" w:hAnsi="Times New Roman" w:cs="Times New Roman"/>
          <w:sz w:val="24"/>
          <w:szCs w:val="24"/>
        </w:rPr>
        <w:t>‘</w:t>
      </w:r>
      <w:r w:rsidRPr="007637C9">
        <w:rPr>
          <w:rFonts w:ascii="Times New Roman" w:hAnsi="Times New Roman" w:cs="Times New Roman"/>
          <w:sz w:val="24"/>
          <w:szCs w:val="24"/>
        </w:rPr>
        <w:t>Student Behaviours</w:t>
      </w:r>
      <w:r w:rsidR="00D07467" w:rsidRPr="007637C9">
        <w:rPr>
          <w:rFonts w:ascii="Times New Roman" w:hAnsi="Times New Roman" w:cs="Times New Roman"/>
          <w:sz w:val="24"/>
          <w:szCs w:val="24"/>
        </w:rPr>
        <w:t>’</w:t>
      </w:r>
      <w:r w:rsidRPr="007637C9">
        <w:rPr>
          <w:rFonts w:ascii="Times New Roman" w:hAnsi="Times New Roman" w:cs="Times New Roman"/>
          <w:sz w:val="24"/>
          <w:szCs w:val="24"/>
        </w:rPr>
        <w:t xml:space="preserve">). These were </w:t>
      </w:r>
      <w:proofErr w:type="gramStart"/>
      <w:r w:rsidRPr="007637C9">
        <w:rPr>
          <w:rFonts w:ascii="Times New Roman" w:hAnsi="Times New Roman" w:cs="Times New Roman"/>
          <w:sz w:val="24"/>
          <w:szCs w:val="24"/>
        </w:rPr>
        <w:t>similar to</w:t>
      </w:r>
      <w:proofErr w:type="gramEnd"/>
      <w:r w:rsidRPr="007637C9">
        <w:rPr>
          <w:rFonts w:ascii="Times New Roman" w:hAnsi="Times New Roman" w:cs="Times New Roman"/>
          <w:sz w:val="24"/>
          <w:szCs w:val="24"/>
        </w:rPr>
        <w:t xml:space="preserve"> the </w:t>
      </w:r>
      <w:r w:rsidR="002D166E" w:rsidRPr="007637C9">
        <w:rPr>
          <w:rFonts w:ascii="Times New Roman" w:hAnsi="Times New Roman" w:cs="Times New Roman"/>
          <w:sz w:val="24"/>
          <w:szCs w:val="24"/>
        </w:rPr>
        <w:t xml:space="preserve">two </w:t>
      </w:r>
      <w:r w:rsidRPr="007637C9">
        <w:rPr>
          <w:rFonts w:ascii="Times New Roman" w:hAnsi="Times New Roman" w:cs="Times New Roman"/>
          <w:sz w:val="24"/>
          <w:szCs w:val="24"/>
        </w:rPr>
        <w:t>EPA</w:t>
      </w:r>
      <w:r w:rsidR="002D166E" w:rsidRPr="007637C9">
        <w:rPr>
          <w:rFonts w:ascii="Times New Roman" w:hAnsi="Times New Roman" w:cs="Times New Roman"/>
          <w:sz w:val="24"/>
          <w:szCs w:val="24"/>
        </w:rPr>
        <w:t>s</w:t>
      </w:r>
      <w:r w:rsidRPr="007637C9">
        <w:rPr>
          <w:rFonts w:ascii="Times New Roman" w:hAnsi="Times New Roman" w:cs="Times New Roman"/>
          <w:sz w:val="24"/>
          <w:szCs w:val="24"/>
        </w:rPr>
        <w:t xml:space="preserve"> defined by Smith (2019) of ‘Ensuring Athlete Safety and Welfare’ and ‘Undertaking the Assessment Effectively.’  In the current project, </w:t>
      </w:r>
      <w:r w:rsidR="0036210D" w:rsidRPr="007637C9">
        <w:rPr>
          <w:rFonts w:ascii="Times New Roman" w:hAnsi="Times New Roman" w:cs="Times New Roman"/>
          <w:sz w:val="24"/>
          <w:szCs w:val="24"/>
        </w:rPr>
        <w:t>‘</w:t>
      </w:r>
      <w:r w:rsidRPr="007637C9">
        <w:rPr>
          <w:rFonts w:ascii="Times New Roman" w:hAnsi="Times New Roman" w:cs="Times New Roman"/>
          <w:sz w:val="24"/>
          <w:szCs w:val="24"/>
        </w:rPr>
        <w:t>Student Behaviours</w:t>
      </w:r>
      <w:r w:rsidR="0036210D" w:rsidRPr="007637C9">
        <w:rPr>
          <w:rFonts w:ascii="Times New Roman" w:hAnsi="Times New Roman" w:cs="Times New Roman"/>
          <w:sz w:val="24"/>
          <w:szCs w:val="24"/>
        </w:rPr>
        <w:t>’</w:t>
      </w:r>
      <w:r w:rsidRPr="007637C9">
        <w:rPr>
          <w:rFonts w:ascii="Times New Roman" w:hAnsi="Times New Roman" w:cs="Times New Roman"/>
          <w:sz w:val="24"/>
          <w:szCs w:val="24"/>
        </w:rPr>
        <w:t xml:space="preserve"> were created as a separate EPA to improve clarity of this area </w:t>
      </w:r>
      <w:r w:rsidRPr="007637C9">
        <w:rPr>
          <w:rFonts w:ascii="Times New Roman" w:hAnsi="Times New Roman" w:cs="Times New Roman"/>
          <w:sz w:val="24"/>
          <w:szCs w:val="24"/>
        </w:rPr>
        <w:lastRenderedPageBreak/>
        <w:t>to the students and highlight their importance of themselves</w:t>
      </w:r>
      <w:r w:rsidR="00557E0C" w:rsidRPr="007637C9">
        <w:rPr>
          <w:rFonts w:ascii="Times New Roman" w:hAnsi="Times New Roman" w:cs="Times New Roman"/>
          <w:sz w:val="24"/>
          <w:szCs w:val="24"/>
        </w:rPr>
        <w:t xml:space="preserve"> and their personal and professional attributes</w:t>
      </w:r>
      <w:r w:rsidRPr="007637C9">
        <w:rPr>
          <w:rFonts w:ascii="Times New Roman" w:hAnsi="Times New Roman" w:cs="Times New Roman"/>
          <w:sz w:val="24"/>
          <w:szCs w:val="24"/>
        </w:rPr>
        <w:t xml:space="preserve"> as specific required competencies. However, the individual elements of </w:t>
      </w:r>
      <w:r w:rsidR="00557E0C" w:rsidRPr="007637C9">
        <w:rPr>
          <w:rFonts w:ascii="Times New Roman" w:hAnsi="Times New Roman" w:cs="Times New Roman"/>
          <w:sz w:val="24"/>
          <w:szCs w:val="24"/>
        </w:rPr>
        <w:t>‘</w:t>
      </w:r>
      <w:r w:rsidRPr="007637C9">
        <w:rPr>
          <w:rFonts w:ascii="Times New Roman" w:hAnsi="Times New Roman" w:cs="Times New Roman"/>
          <w:sz w:val="24"/>
          <w:szCs w:val="24"/>
        </w:rPr>
        <w:t>Student Behaviours</w:t>
      </w:r>
      <w:r w:rsidR="00557E0C" w:rsidRPr="007637C9">
        <w:rPr>
          <w:rFonts w:ascii="Times New Roman" w:hAnsi="Times New Roman" w:cs="Times New Roman"/>
          <w:sz w:val="24"/>
          <w:szCs w:val="24"/>
        </w:rPr>
        <w:t>’</w:t>
      </w:r>
      <w:r w:rsidRPr="007637C9">
        <w:rPr>
          <w:rFonts w:ascii="Times New Roman" w:hAnsi="Times New Roman" w:cs="Times New Roman"/>
          <w:sz w:val="24"/>
          <w:szCs w:val="24"/>
        </w:rPr>
        <w:t xml:space="preserve"> are reflected in the </w:t>
      </w:r>
      <w:r w:rsidR="00D06D7A" w:rsidRPr="007637C9">
        <w:rPr>
          <w:rFonts w:ascii="Times New Roman" w:hAnsi="Times New Roman" w:cs="Times New Roman"/>
          <w:sz w:val="24"/>
          <w:szCs w:val="24"/>
        </w:rPr>
        <w:t>‘</w:t>
      </w:r>
      <w:r w:rsidRPr="007637C9">
        <w:rPr>
          <w:rFonts w:ascii="Times New Roman" w:hAnsi="Times New Roman" w:cs="Times New Roman"/>
          <w:sz w:val="24"/>
          <w:szCs w:val="24"/>
        </w:rPr>
        <w:t>Ensuring Athlete Safety and Welfare</w:t>
      </w:r>
      <w:r w:rsidR="00D06D7A" w:rsidRPr="007637C9">
        <w:rPr>
          <w:rFonts w:ascii="Times New Roman" w:hAnsi="Times New Roman" w:cs="Times New Roman"/>
          <w:sz w:val="24"/>
          <w:szCs w:val="24"/>
        </w:rPr>
        <w:t>’</w:t>
      </w:r>
      <w:r w:rsidRPr="007637C9">
        <w:rPr>
          <w:rFonts w:ascii="Times New Roman" w:hAnsi="Times New Roman" w:cs="Times New Roman"/>
          <w:sz w:val="24"/>
          <w:szCs w:val="24"/>
        </w:rPr>
        <w:t xml:space="preserve"> </w:t>
      </w:r>
      <w:r w:rsidR="002B63DD" w:rsidRPr="007637C9">
        <w:rPr>
          <w:rFonts w:ascii="Times New Roman" w:hAnsi="Times New Roman" w:cs="Times New Roman"/>
          <w:sz w:val="24"/>
          <w:szCs w:val="24"/>
        </w:rPr>
        <w:t xml:space="preserve">EPA developed by </w:t>
      </w:r>
      <w:r w:rsidRPr="007637C9">
        <w:rPr>
          <w:rFonts w:ascii="Times New Roman" w:hAnsi="Times New Roman" w:cs="Times New Roman"/>
          <w:sz w:val="24"/>
          <w:szCs w:val="24"/>
        </w:rPr>
        <w:t>Smith (2019)</w:t>
      </w:r>
      <w:r w:rsidR="005B23A1" w:rsidRPr="007637C9">
        <w:rPr>
          <w:rFonts w:ascii="Times New Roman" w:hAnsi="Times New Roman" w:cs="Times New Roman"/>
          <w:sz w:val="24"/>
          <w:szCs w:val="24"/>
        </w:rPr>
        <w:t>, which includes components such as ‘Respecting athlete dignity’.</w:t>
      </w:r>
      <w:r w:rsidRPr="007637C9">
        <w:rPr>
          <w:rFonts w:ascii="Times New Roman" w:hAnsi="Times New Roman" w:cs="Times New Roman"/>
          <w:sz w:val="24"/>
          <w:szCs w:val="24"/>
        </w:rPr>
        <w:t xml:space="preserve">  One of the drivers for the EPA selection and definition by Smith (2019) was alignment to the BASES Accreditation competencies, as they state the requirement to reference industry standards and regulatory frameworks (Hauer et al., 2013) strengthens the applicability of EPA.  Similarly, in the current project, each matrix statement was mapped against the BASES Accreditation competencies</w:t>
      </w:r>
      <w:r w:rsidR="00A666A0" w:rsidRPr="007637C9">
        <w:rPr>
          <w:rFonts w:ascii="Times New Roman" w:hAnsi="Times New Roman" w:cs="Times New Roman"/>
          <w:sz w:val="24"/>
          <w:szCs w:val="24"/>
        </w:rPr>
        <w:t xml:space="preserve"> </w:t>
      </w:r>
      <w:r w:rsidRPr="007637C9">
        <w:rPr>
          <w:rFonts w:ascii="Times New Roman" w:hAnsi="Times New Roman" w:cs="Times New Roman"/>
          <w:sz w:val="24"/>
          <w:szCs w:val="24"/>
        </w:rPr>
        <w:t>to ensure full and adequate coverage (each statement aligned to at least three BASES competencies), and the statements were then assigned to one of the three EPAs.</w:t>
      </w:r>
    </w:p>
    <w:p w14:paraId="6F216490" w14:textId="0B3275CE" w:rsidR="00E67BC3" w:rsidRPr="007637C9" w:rsidRDefault="00E67BC3"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The importance of the EPA statements in the competency matrix </w:t>
      </w:r>
      <w:r w:rsidR="00B36110" w:rsidRPr="007637C9">
        <w:rPr>
          <w:rFonts w:ascii="Times New Roman" w:hAnsi="Times New Roman" w:cs="Times New Roman"/>
          <w:sz w:val="24"/>
          <w:szCs w:val="24"/>
        </w:rPr>
        <w:t xml:space="preserve">reported </w:t>
      </w:r>
      <w:r w:rsidR="00D5644A" w:rsidRPr="007637C9">
        <w:rPr>
          <w:rFonts w:ascii="Times New Roman" w:hAnsi="Times New Roman" w:cs="Times New Roman"/>
          <w:sz w:val="24"/>
          <w:szCs w:val="24"/>
        </w:rPr>
        <w:t>by</w:t>
      </w:r>
      <w:r w:rsidRPr="007637C9">
        <w:rPr>
          <w:rFonts w:ascii="Times New Roman" w:hAnsi="Times New Roman" w:cs="Times New Roman"/>
          <w:sz w:val="24"/>
          <w:szCs w:val="24"/>
        </w:rPr>
        <w:t xml:space="preserve"> the students indicated that </w:t>
      </w:r>
      <w:r w:rsidR="00B36110" w:rsidRPr="007637C9">
        <w:rPr>
          <w:rFonts w:ascii="Times New Roman" w:hAnsi="Times New Roman" w:cs="Times New Roman"/>
          <w:sz w:val="24"/>
          <w:szCs w:val="24"/>
        </w:rPr>
        <w:t>‘</w:t>
      </w:r>
      <w:r w:rsidRPr="007637C9">
        <w:rPr>
          <w:rFonts w:ascii="Times New Roman" w:hAnsi="Times New Roman" w:cs="Times New Roman"/>
          <w:sz w:val="24"/>
          <w:szCs w:val="24"/>
        </w:rPr>
        <w:t>maintaining health and safety</w:t>
      </w:r>
      <w:r w:rsidR="00B36110" w:rsidRPr="007637C9">
        <w:rPr>
          <w:rFonts w:ascii="Times New Roman" w:hAnsi="Times New Roman" w:cs="Times New Roman"/>
          <w:sz w:val="24"/>
          <w:szCs w:val="24"/>
        </w:rPr>
        <w:t>’</w:t>
      </w:r>
      <w:r w:rsidRPr="007637C9">
        <w:rPr>
          <w:rFonts w:ascii="Times New Roman" w:hAnsi="Times New Roman" w:cs="Times New Roman"/>
          <w:sz w:val="24"/>
          <w:szCs w:val="24"/>
        </w:rPr>
        <w:t xml:space="preserve"> was the most important followed by </w:t>
      </w:r>
      <w:r w:rsidR="00B36110" w:rsidRPr="007637C9">
        <w:rPr>
          <w:rFonts w:ascii="Times New Roman" w:hAnsi="Times New Roman" w:cs="Times New Roman"/>
          <w:sz w:val="24"/>
          <w:szCs w:val="24"/>
        </w:rPr>
        <w:t>‘</w:t>
      </w:r>
      <w:r w:rsidRPr="007637C9">
        <w:rPr>
          <w:rFonts w:ascii="Times New Roman" w:hAnsi="Times New Roman" w:cs="Times New Roman"/>
          <w:sz w:val="24"/>
          <w:szCs w:val="24"/>
        </w:rPr>
        <w:t>duty of care</w:t>
      </w:r>
      <w:r w:rsidR="00B36110"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w:t>
      </w:r>
      <w:r w:rsidR="00B36110" w:rsidRPr="007637C9">
        <w:rPr>
          <w:rFonts w:ascii="Times New Roman" w:hAnsi="Times New Roman" w:cs="Times New Roman"/>
          <w:sz w:val="24"/>
          <w:szCs w:val="24"/>
        </w:rPr>
        <w:t>‘</w:t>
      </w:r>
      <w:r w:rsidRPr="007637C9">
        <w:rPr>
          <w:rFonts w:ascii="Times New Roman" w:hAnsi="Times New Roman" w:cs="Times New Roman"/>
          <w:sz w:val="24"/>
          <w:szCs w:val="24"/>
        </w:rPr>
        <w:t>communication of procedure</w:t>
      </w:r>
      <w:r w:rsidR="00B36110"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these were generally</w:t>
      </w:r>
      <w:r w:rsidR="00391197" w:rsidRPr="007637C9">
        <w:rPr>
          <w:rFonts w:ascii="Times New Roman" w:hAnsi="Times New Roman" w:cs="Times New Roman"/>
          <w:sz w:val="24"/>
          <w:szCs w:val="24"/>
        </w:rPr>
        <w:t xml:space="preserve"> rated as</w:t>
      </w:r>
      <w:r w:rsidRPr="007637C9">
        <w:rPr>
          <w:rFonts w:ascii="Times New Roman" w:hAnsi="Times New Roman" w:cs="Times New Roman"/>
          <w:sz w:val="24"/>
          <w:szCs w:val="24"/>
        </w:rPr>
        <w:t xml:space="preserve"> significantly more important than the other statements.  All three of these are key competencies</w:t>
      </w:r>
      <w:r w:rsidR="00153631" w:rsidRPr="007637C9">
        <w:rPr>
          <w:rFonts w:ascii="Times New Roman" w:hAnsi="Times New Roman" w:cs="Times New Roman"/>
          <w:sz w:val="24"/>
          <w:szCs w:val="24"/>
        </w:rPr>
        <w:t>,</w:t>
      </w:r>
      <w:r w:rsidRPr="007637C9">
        <w:rPr>
          <w:rFonts w:ascii="Times New Roman" w:hAnsi="Times New Roman" w:cs="Times New Roman"/>
          <w:sz w:val="24"/>
          <w:szCs w:val="24"/>
        </w:rPr>
        <w:t xml:space="preserve"> as </w:t>
      </w:r>
      <w:r w:rsidR="00391197" w:rsidRPr="007637C9">
        <w:rPr>
          <w:rFonts w:ascii="Times New Roman" w:hAnsi="Times New Roman" w:cs="Times New Roman"/>
          <w:sz w:val="24"/>
          <w:szCs w:val="24"/>
        </w:rPr>
        <w:t xml:space="preserve">ensuring </w:t>
      </w:r>
      <w:r w:rsidRPr="007637C9">
        <w:rPr>
          <w:rFonts w:ascii="Times New Roman" w:hAnsi="Times New Roman" w:cs="Times New Roman"/>
          <w:sz w:val="24"/>
          <w:szCs w:val="24"/>
        </w:rPr>
        <w:t xml:space="preserve">client </w:t>
      </w:r>
      <w:r w:rsidR="00391197" w:rsidRPr="007637C9">
        <w:rPr>
          <w:rFonts w:ascii="Times New Roman" w:hAnsi="Times New Roman" w:cs="Times New Roman"/>
          <w:sz w:val="24"/>
          <w:szCs w:val="24"/>
        </w:rPr>
        <w:t xml:space="preserve">welfare </w:t>
      </w:r>
      <w:r w:rsidRPr="007637C9">
        <w:rPr>
          <w:rFonts w:ascii="Times New Roman" w:hAnsi="Times New Roman" w:cs="Times New Roman"/>
          <w:sz w:val="24"/>
          <w:szCs w:val="24"/>
        </w:rPr>
        <w:t>is the most important skill for a sport and exercise scientist</w:t>
      </w:r>
      <w:r w:rsidR="008F0721" w:rsidRPr="007637C9">
        <w:rPr>
          <w:rFonts w:ascii="Times New Roman" w:hAnsi="Times New Roman" w:cs="Times New Roman"/>
          <w:sz w:val="24"/>
          <w:szCs w:val="24"/>
        </w:rPr>
        <w:t xml:space="preserve"> when</w:t>
      </w:r>
      <w:r w:rsidRPr="007637C9">
        <w:rPr>
          <w:rFonts w:ascii="Times New Roman" w:hAnsi="Times New Roman" w:cs="Times New Roman"/>
          <w:sz w:val="24"/>
          <w:szCs w:val="24"/>
        </w:rPr>
        <w:t xml:space="preserve"> providing support and testing. The outline for BASES Accreditation states that it is a professional standard to practitioners deemed necessary to practice safely and effectively.  This mirrors the medical and allied health professional fields, where ensuring that a patient is treated well and not subjected to any unnecessary treatment that may unduly affect them is a prime directive.  The fact that students reported that these were the most important is very promising</w:t>
      </w:r>
      <w:r w:rsidR="004641A4" w:rsidRPr="007637C9">
        <w:rPr>
          <w:rFonts w:ascii="Times New Roman" w:hAnsi="Times New Roman" w:cs="Times New Roman"/>
          <w:sz w:val="24"/>
          <w:szCs w:val="24"/>
        </w:rPr>
        <w:t xml:space="preserve"> in the development of the framework</w:t>
      </w:r>
      <w:r w:rsidRPr="007637C9">
        <w:rPr>
          <w:rFonts w:ascii="Times New Roman" w:hAnsi="Times New Roman" w:cs="Times New Roman"/>
          <w:sz w:val="24"/>
          <w:szCs w:val="24"/>
        </w:rPr>
        <w:t>.  Th</w:t>
      </w:r>
      <w:r w:rsidR="004641A4" w:rsidRPr="007637C9">
        <w:rPr>
          <w:rFonts w:ascii="Times New Roman" w:hAnsi="Times New Roman" w:cs="Times New Roman"/>
          <w:sz w:val="24"/>
          <w:szCs w:val="24"/>
        </w:rPr>
        <w:t>is</w:t>
      </w:r>
      <w:r w:rsidRPr="007637C9">
        <w:rPr>
          <w:rFonts w:ascii="Times New Roman" w:hAnsi="Times New Roman" w:cs="Times New Roman"/>
          <w:sz w:val="24"/>
          <w:szCs w:val="24"/>
        </w:rPr>
        <w:t xml:space="preserve"> was designed to specifically develop an understanding of the operational tasks required when providing sport and exercise science support and students were able to identify that health and safety and duty of care are important attributes within the role.   This implies that the structure and pedagogic approach </w:t>
      </w:r>
      <w:r w:rsidRPr="007637C9">
        <w:rPr>
          <w:rFonts w:ascii="Times New Roman" w:hAnsi="Times New Roman" w:cs="Times New Roman"/>
          <w:sz w:val="24"/>
          <w:szCs w:val="24"/>
        </w:rPr>
        <w:lastRenderedPageBreak/>
        <w:t>to teaching and learning</w:t>
      </w:r>
      <w:r w:rsidR="004641A4" w:rsidRPr="007637C9">
        <w:rPr>
          <w:rFonts w:ascii="Times New Roman" w:hAnsi="Times New Roman" w:cs="Times New Roman"/>
          <w:sz w:val="24"/>
          <w:szCs w:val="24"/>
        </w:rPr>
        <w:t xml:space="preserve"> in </w:t>
      </w:r>
      <w:r w:rsidR="005D54B1" w:rsidRPr="007637C9">
        <w:rPr>
          <w:rFonts w:ascii="Times New Roman" w:hAnsi="Times New Roman" w:cs="Times New Roman"/>
          <w:sz w:val="24"/>
          <w:szCs w:val="24"/>
        </w:rPr>
        <w:t>Sport and Exercise</w:t>
      </w:r>
      <w:r w:rsidR="004641A4" w:rsidRPr="007637C9">
        <w:rPr>
          <w:rFonts w:ascii="Times New Roman" w:hAnsi="Times New Roman" w:cs="Times New Roman"/>
          <w:sz w:val="24"/>
          <w:szCs w:val="24"/>
        </w:rPr>
        <w:t xml:space="preserve"> Sciences when aligned to an EPA framework</w:t>
      </w:r>
      <w:r w:rsidRPr="007637C9">
        <w:rPr>
          <w:rFonts w:ascii="Times New Roman" w:hAnsi="Times New Roman" w:cs="Times New Roman"/>
          <w:sz w:val="24"/>
          <w:szCs w:val="24"/>
        </w:rPr>
        <w:t xml:space="preserve"> </w:t>
      </w:r>
      <w:r w:rsidR="004641A4" w:rsidRPr="007637C9">
        <w:rPr>
          <w:rFonts w:ascii="Times New Roman" w:hAnsi="Times New Roman" w:cs="Times New Roman"/>
          <w:sz w:val="24"/>
          <w:szCs w:val="24"/>
        </w:rPr>
        <w:t>can</w:t>
      </w:r>
      <w:r w:rsidRPr="007637C9">
        <w:rPr>
          <w:rFonts w:ascii="Times New Roman" w:hAnsi="Times New Roman" w:cs="Times New Roman"/>
          <w:sz w:val="24"/>
          <w:szCs w:val="24"/>
        </w:rPr>
        <w:t xml:space="preserve"> </w:t>
      </w:r>
      <w:r w:rsidR="004641A4" w:rsidRPr="007637C9">
        <w:rPr>
          <w:rFonts w:ascii="Times New Roman" w:hAnsi="Times New Roman" w:cs="Times New Roman"/>
          <w:sz w:val="24"/>
          <w:szCs w:val="24"/>
        </w:rPr>
        <w:t>adequately</w:t>
      </w:r>
      <w:r w:rsidRPr="007637C9">
        <w:rPr>
          <w:rFonts w:ascii="Times New Roman" w:hAnsi="Times New Roman" w:cs="Times New Roman"/>
          <w:sz w:val="24"/>
          <w:szCs w:val="24"/>
        </w:rPr>
        <w:t xml:space="preserve"> prepar</w:t>
      </w:r>
      <w:r w:rsidR="004641A4" w:rsidRPr="007637C9">
        <w:rPr>
          <w:rFonts w:ascii="Times New Roman" w:hAnsi="Times New Roman" w:cs="Times New Roman"/>
          <w:sz w:val="24"/>
          <w:szCs w:val="24"/>
        </w:rPr>
        <w:t>e</w:t>
      </w:r>
      <w:r w:rsidRPr="007637C9">
        <w:rPr>
          <w:rFonts w:ascii="Times New Roman" w:hAnsi="Times New Roman" w:cs="Times New Roman"/>
          <w:sz w:val="24"/>
          <w:szCs w:val="24"/>
        </w:rPr>
        <w:t xml:space="preserve"> students to </w:t>
      </w:r>
      <w:r w:rsidR="0073257F" w:rsidRPr="007637C9">
        <w:rPr>
          <w:rFonts w:ascii="Times New Roman" w:hAnsi="Times New Roman" w:cs="Times New Roman"/>
          <w:sz w:val="24"/>
          <w:szCs w:val="24"/>
        </w:rPr>
        <w:t xml:space="preserve">recognise the attributes required to </w:t>
      </w:r>
      <w:r w:rsidRPr="007637C9">
        <w:rPr>
          <w:rFonts w:ascii="Times New Roman" w:hAnsi="Times New Roman" w:cs="Times New Roman"/>
          <w:sz w:val="24"/>
          <w:szCs w:val="24"/>
        </w:rPr>
        <w:t xml:space="preserve">act in an appropriate manner. Additionally, the competencies of maintaining health and safety, duty of care, and communication of procedure are generic </w:t>
      </w:r>
      <w:r w:rsidR="004641A4" w:rsidRPr="007637C9">
        <w:rPr>
          <w:rFonts w:ascii="Times New Roman" w:hAnsi="Times New Roman" w:cs="Times New Roman"/>
          <w:sz w:val="24"/>
          <w:szCs w:val="24"/>
        </w:rPr>
        <w:t xml:space="preserve">and </w:t>
      </w:r>
      <w:r w:rsidR="006A6D41" w:rsidRPr="007637C9">
        <w:rPr>
          <w:rFonts w:ascii="Times New Roman" w:hAnsi="Times New Roman" w:cs="Times New Roman"/>
          <w:sz w:val="24"/>
          <w:szCs w:val="24"/>
        </w:rPr>
        <w:t xml:space="preserve">can be assessed </w:t>
      </w:r>
      <w:r w:rsidR="004641A4" w:rsidRPr="007637C9">
        <w:rPr>
          <w:rFonts w:ascii="Times New Roman" w:hAnsi="Times New Roman" w:cs="Times New Roman"/>
          <w:sz w:val="24"/>
          <w:szCs w:val="24"/>
        </w:rPr>
        <w:t>as</w:t>
      </w:r>
      <w:r w:rsidRPr="007637C9">
        <w:rPr>
          <w:rFonts w:ascii="Times New Roman" w:hAnsi="Times New Roman" w:cs="Times New Roman"/>
          <w:sz w:val="24"/>
          <w:szCs w:val="24"/>
        </w:rPr>
        <w:t xml:space="preserve"> key competencies </w:t>
      </w:r>
      <w:r w:rsidR="0025224F" w:rsidRPr="007637C9">
        <w:rPr>
          <w:rFonts w:ascii="Times New Roman" w:hAnsi="Times New Roman" w:cs="Times New Roman"/>
          <w:sz w:val="24"/>
          <w:szCs w:val="24"/>
        </w:rPr>
        <w:t>on</w:t>
      </w:r>
      <w:r w:rsidRPr="007637C9">
        <w:rPr>
          <w:rFonts w:ascii="Times New Roman" w:hAnsi="Times New Roman" w:cs="Times New Roman"/>
          <w:sz w:val="24"/>
          <w:szCs w:val="24"/>
        </w:rPr>
        <w:t xml:space="preserve"> other modules </w:t>
      </w:r>
      <w:r w:rsidR="004641A4" w:rsidRPr="007637C9">
        <w:rPr>
          <w:rFonts w:ascii="Times New Roman" w:hAnsi="Times New Roman" w:cs="Times New Roman"/>
          <w:sz w:val="24"/>
          <w:szCs w:val="24"/>
        </w:rPr>
        <w:t>across the programme</w:t>
      </w:r>
      <w:r w:rsidRPr="007637C9">
        <w:rPr>
          <w:rFonts w:ascii="Times New Roman" w:hAnsi="Times New Roman" w:cs="Times New Roman"/>
          <w:sz w:val="24"/>
          <w:szCs w:val="24"/>
        </w:rPr>
        <w:t>.</w:t>
      </w:r>
    </w:p>
    <w:p w14:paraId="2D2CAB82" w14:textId="4985D347" w:rsidR="00E67BC3" w:rsidRPr="007637C9" w:rsidRDefault="00E67BC3"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Interestingly, one of the main principles and outcomes of </w:t>
      </w:r>
      <w:r w:rsidR="000D09F9" w:rsidRPr="007637C9">
        <w:rPr>
          <w:rFonts w:ascii="Times New Roman" w:hAnsi="Times New Roman" w:cs="Times New Roman"/>
          <w:sz w:val="24"/>
          <w:szCs w:val="24"/>
        </w:rPr>
        <w:t>EPAs</w:t>
      </w:r>
      <w:r w:rsidRPr="007637C9">
        <w:rPr>
          <w:rFonts w:ascii="Times New Roman" w:hAnsi="Times New Roman" w:cs="Times New Roman"/>
          <w:sz w:val="24"/>
          <w:szCs w:val="24"/>
        </w:rPr>
        <w:t xml:space="preserve"> was deemed</w:t>
      </w:r>
      <w:r w:rsidR="001B410C" w:rsidRPr="007637C9">
        <w:rPr>
          <w:rFonts w:ascii="Times New Roman" w:hAnsi="Times New Roman" w:cs="Times New Roman"/>
          <w:sz w:val="24"/>
          <w:szCs w:val="24"/>
        </w:rPr>
        <w:t xml:space="preserve"> by students</w:t>
      </w:r>
      <w:r w:rsidRPr="007637C9">
        <w:rPr>
          <w:rFonts w:ascii="Times New Roman" w:hAnsi="Times New Roman" w:cs="Times New Roman"/>
          <w:sz w:val="24"/>
          <w:szCs w:val="24"/>
        </w:rPr>
        <w:t xml:space="preserve"> to be least important of</w:t>
      </w:r>
      <w:r w:rsidR="00A52B83" w:rsidRPr="007637C9">
        <w:rPr>
          <w:rFonts w:ascii="Times New Roman" w:hAnsi="Times New Roman" w:cs="Times New Roman"/>
          <w:sz w:val="24"/>
          <w:szCs w:val="24"/>
        </w:rPr>
        <w:t xml:space="preserve"> those</w:t>
      </w:r>
      <w:r w:rsidRPr="007637C9">
        <w:rPr>
          <w:rFonts w:ascii="Times New Roman" w:hAnsi="Times New Roman" w:cs="Times New Roman"/>
          <w:sz w:val="24"/>
          <w:szCs w:val="24"/>
        </w:rPr>
        <w:t xml:space="preserve"> included.  A primary aim </w:t>
      </w:r>
      <w:r w:rsidR="00A52B83" w:rsidRPr="007637C9">
        <w:rPr>
          <w:rFonts w:ascii="Times New Roman" w:hAnsi="Times New Roman" w:cs="Times New Roman"/>
          <w:sz w:val="24"/>
          <w:szCs w:val="24"/>
        </w:rPr>
        <w:t xml:space="preserve">of the use of EPAs </w:t>
      </w:r>
      <w:r w:rsidRPr="007637C9">
        <w:rPr>
          <w:rFonts w:ascii="Times New Roman" w:hAnsi="Times New Roman" w:cs="Times New Roman"/>
          <w:sz w:val="24"/>
          <w:szCs w:val="24"/>
        </w:rPr>
        <w:t xml:space="preserve">is to </w:t>
      </w:r>
      <w:r w:rsidR="00A20E00" w:rsidRPr="007637C9">
        <w:rPr>
          <w:rFonts w:ascii="Times New Roman" w:hAnsi="Times New Roman" w:cs="Times New Roman"/>
          <w:sz w:val="24"/>
          <w:szCs w:val="24"/>
        </w:rPr>
        <w:t xml:space="preserve">be able to </w:t>
      </w:r>
      <w:r w:rsidR="00C927A0" w:rsidRPr="007637C9">
        <w:rPr>
          <w:rFonts w:ascii="Times New Roman" w:hAnsi="Times New Roman" w:cs="Times New Roman"/>
          <w:sz w:val="24"/>
          <w:szCs w:val="24"/>
        </w:rPr>
        <w:t>accurately and reliably</w:t>
      </w:r>
      <w:r w:rsidR="00A20E00" w:rsidRPr="007637C9">
        <w:rPr>
          <w:rFonts w:ascii="Times New Roman" w:hAnsi="Times New Roman" w:cs="Times New Roman"/>
          <w:sz w:val="24"/>
          <w:szCs w:val="24"/>
        </w:rPr>
        <w:t xml:space="preserve"> assess when</w:t>
      </w:r>
      <w:r w:rsidRPr="007637C9">
        <w:rPr>
          <w:rFonts w:ascii="Times New Roman" w:hAnsi="Times New Roman" w:cs="Times New Roman"/>
          <w:sz w:val="24"/>
          <w:szCs w:val="24"/>
        </w:rPr>
        <w:t xml:space="preserve"> supervision </w:t>
      </w:r>
      <w:r w:rsidR="00C927A0" w:rsidRPr="007637C9">
        <w:rPr>
          <w:rFonts w:ascii="Times New Roman" w:hAnsi="Times New Roman" w:cs="Times New Roman"/>
          <w:sz w:val="24"/>
          <w:szCs w:val="24"/>
        </w:rPr>
        <w:t xml:space="preserve">can be reduced </w:t>
      </w:r>
      <w:r w:rsidRPr="007637C9">
        <w:rPr>
          <w:rFonts w:ascii="Times New Roman" w:hAnsi="Times New Roman" w:cs="Times New Roman"/>
          <w:sz w:val="24"/>
          <w:szCs w:val="24"/>
        </w:rPr>
        <w:t>to the point where a student can act independently</w:t>
      </w:r>
      <w:r w:rsidR="00926D7B" w:rsidRPr="007637C9">
        <w:rPr>
          <w:rFonts w:ascii="Times New Roman" w:hAnsi="Times New Roman" w:cs="Times New Roman"/>
          <w:sz w:val="24"/>
          <w:szCs w:val="24"/>
        </w:rPr>
        <w:t xml:space="preserve"> </w:t>
      </w:r>
      <w:r w:rsidRPr="007637C9">
        <w:rPr>
          <w:rFonts w:ascii="Times New Roman" w:hAnsi="Times New Roman" w:cs="Times New Roman"/>
          <w:sz w:val="24"/>
          <w:szCs w:val="24"/>
        </w:rPr>
        <w:t xml:space="preserve">or work autonomously (Weller et al., 2014).  Of all the competency statements within the matrix, Autonomy of Practice was ranked the lowest (mean rank 7.7 ± 3.2 out of 12). This is most likely a reflection of </w:t>
      </w:r>
      <w:r w:rsidR="004641A4" w:rsidRPr="007637C9">
        <w:rPr>
          <w:rFonts w:ascii="Times New Roman" w:hAnsi="Times New Roman" w:cs="Times New Roman"/>
          <w:sz w:val="24"/>
          <w:szCs w:val="24"/>
        </w:rPr>
        <w:t>the difficulty in teaching such a personal attribute that the student must develop through ongoing exposure to practical based activities and increased experience that is likely to create confidence</w:t>
      </w:r>
      <w:r w:rsidRPr="007637C9">
        <w:rPr>
          <w:rFonts w:ascii="Times New Roman" w:hAnsi="Times New Roman" w:cs="Times New Roman"/>
          <w:sz w:val="24"/>
          <w:szCs w:val="24"/>
        </w:rPr>
        <w:t xml:space="preserve">.  </w:t>
      </w:r>
      <w:r w:rsidR="00C927A0" w:rsidRPr="007637C9">
        <w:rPr>
          <w:rFonts w:ascii="Times New Roman" w:hAnsi="Times New Roman" w:cs="Times New Roman"/>
          <w:sz w:val="24"/>
          <w:szCs w:val="24"/>
        </w:rPr>
        <w:t xml:space="preserve">It may also reflect </w:t>
      </w:r>
      <w:r w:rsidR="00366355" w:rsidRPr="007637C9">
        <w:rPr>
          <w:rFonts w:ascii="Times New Roman" w:hAnsi="Times New Roman" w:cs="Times New Roman"/>
          <w:sz w:val="24"/>
          <w:szCs w:val="24"/>
        </w:rPr>
        <w:t>students’ awareness of their stage of learning</w:t>
      </w:r>
      <w:r w:rsidR="008F7A90" w:rsidRPr="007637C9">
        <w:rPr>
          <w:rFonts w:ascii="Times New Roman" w:hAnsi="Times New Roman" w:cs="Times New Roman"/>
          <w:sz w:val="24"/>
          <w:szCs w:val="24"/>
        </w:rPr>
        <w:t xml:space="preserve"> and the expectations they and others may have </w:t>
      </w:r>
      <w:r w:rsidR="003B7A54" w:rsidRPr="007637C9">
        <w:rPr>
          <w:rFonts w:ascii="Times New Roman" w:hAnsi="Times New Roman" w:cs="Times New Roman"/>
          <w:sz w:val="24"/>
          <w:szCs w:val="24"/>
        </w:rPr>
        <w:t xml:space="preserve">of their ability to work independently </w:t>
      </w:r>
      <w:r w:rsidR="008F7A90" w:rsidRPr="007637C9">
        <w:rPr>
          <w:rFonts w:ascii="Times New Roman" w:hAnsi="Times New Roman" w:cs="Times New Roman"/>
          <w:sz w:val="24"/>
          <w:szCs w:val="24"/>
        </w:rPr>
        <w:t xml:space="preserve">at </w:t>
      </w:r>
      <w:r w:rsidR="003B7A54" w:rsidRPr="007637C9">
        <w:rPr>
          <w:rFonts w:ascii="Times New Roman" w:hAnsi="Times New Roman" w:cs="Times New Roman"/>
          <w:sz w:val="24"/>
          <w:szCs w:val="24"/>
        </w:rPr>
        <w:t>Level 4.</w:t>
      </w:r>
      <w:r w:rsidR="00366355" w:rsidRPr="007637C9">
        <w:rPr>
          <w:rFonts w:ascii="Times New Roman" w:hAnsi="Times New Roman" w:cs="Times New Roman"/>
          <w:sz w:val="24"/>
          <w:szCs w:val="24"/>
        </w:rPr>
        <w:t xml:space="preserve"> </w:t>
      </w:r>
      <w:r w:rsidR="00E17624" w:rsidRPr="007637C9">
        <w:rPr>
          <w:rFonts w:ascii="Times New Roman" w:hAnsi="Times New Roman" w:cs="Times New Roman"/>
          <w:sz w:val="24"/>
          <w:szCs w:val="24"/>
        </w:rPr>
        <w:t xml:space="preserve">This </w:t>
      </w:r>
      <w:r w:rsidRPr="007637C9">
        <w:rPr>
          <w:rFonts w:ascii="Times New Roman" w:hAnsi="Times New Roman" w:cs="Times New Roman"/>
          <w:sz w:val="24"/>
          <w:szCs w:val="24"/>
        </w:rPr>
        <w:t>is a graduate level attribute (Level 6</w:t>
      </w:r>
      <w:proofErr w:type="gramStart"/>
      <w:r w:rsidRPr="007637C9">
        <w:rPr>
          <w:rFonts w:ascii="Times New Roman" w:hAnsi="Times New Roman" w:cs="Times New Roman"/>
          <w:sz w:val="24"/>
          <w:szCs w:val="24"/>
        </w:rPr>
        <w:t>)</w:t>
      </w:r>
      <w:proofErr w:type="gramEnd"/>
      <w:r w:rsidRPr="007637C9">
        <w:rPr>
          <w:rFonts w:ascii="Times New Roman" w:hAnsi="Times New Roman" w:cs="Times New Roman"/>
          <w:sz w:val="24"/>
          <w:szCs w:val="24"/>
        </w:rPr>
        <w:t xml:space="preserve"> and the BASES Accreditation is devised to be at Level 7 in which the competency of ‘Work autonomously and take responsibility for the work of self and others’ is seated. </w:t>
      </w:r>
      <w:r w:rsidR="004641A4" w:rsidRPr="007637C9">
        <w:rPr>
          <w:rFonts w:ascii="Times New Roman" w:hAnsi="Times New Roman" w:cs="Times New Roman"/>
          <w:sz w:val="24"/>
          <w:szCs w:val="24"/>
        </w:rPr>
        <w:t xml:space="preserve"> Where </w:t>
      </w:r>
      <w:r w:rsidRPr="007637C9">
        <w:rPr>
          <w:rFonts w:ascii="Times New Roman" w:hAnsi="Times New Roman" w:cs="Times New Roman"/>
          <w:sz w:val="24"/>
          <w:szCs w:val="24"/>
        </w:rPr>
        <w:t xml:space="preserve">students are at the beginning of their undergraduate journey, and at the earlier stages of learning (Dreyfus &amp; Dreyfus, 1980), it is more likely that they are more focused on developing generic learning skills and discipline specific knowledge (Stage 2: Advanced Beginner or Stage 3: Competency) </w:t>
      </w:r>
      <w:r w:rsidR="004641A4" w:rsidRPr="007637C9">
        <w:rPr>
          <w:rFonts w:ascii="Times New Roman" w:hAnsi="Times New Roman" w:cs="Times New Roman"/>
          <w:sz w:val="24"/>
          <w:szCs w:val="24"/>
        </w:rPr>
        <w:t>and this will progress to</w:t>
      </w:r>
      <w:r w:rsidRPr="007637C9">
        <w:rPr>
          <w:rFonts w:ascii="Times New Roman" w:hAnsi="Times New Roman" w:cs="Times New Roman"/>
          <w:sz w:val="24"/>
          <w:szCs w:val="24"/>
        </w:rPr>
        <w:t xml:space="preserve"> application that will develop </w:t>
      </w:r>
      <w:r w:rsidR="004641A4" w:rsidRPr="007637C9">
        <w:rPr>
          <w:rFonts w:ascii="Times New Roman" w:hAnsi="Times New Roman" w:cs="Times New Roman"/>
          <w:sz w:val="24"/>
          <w:szCs w:val="24"/>
        </w:rPr>
        <w:t>throughout the undergraduate degree</w:t>
      </w:r>
      <w:r w:rsidRPr="007637C9">
        <w:rPr>
          <w:rFonts w:ascii="Times New Roman" w:hAnsi="Times New Roman" w:cs="Times New Roman"/>
          <w:sz w:val="24"/>
          <w:szCs w:val="24"/>
        </w:rPr>
        <w:t xml:space="preserve"> and through future opportunities (Stage 4: Proficiency) (Dreyfus, 2004).  Indeed, the practical skills, such as </w:t>
      </w:r>
      <w:r w:rsidR="003F0256" w:rsidRPr="007637C9">
        <w:rPr>
          <w:rFonts w:ascii="Times New Roman" w:hAnsi="Times New Roman" w:cs="Times New Roman"/>
          <w:sz w:val="24"/>
          <w:szCs w:val="24"/>
        </w:rPr>
        <w:t>‘</w:t>
      </w:r>
      <w:r w:rsidRPr="007637C9">
        <w:rPr>
          <w:rFonts w:ascii="Times New Roman" w:hAnsi="Times New Roman" w:cs="Times New Roman"/>
          <w:sz w:val="24"/>
          <w:szCs w:val="24"/>
        </w:rPr>
        <w:t>Analysis and Interpretation</w:t>
      </w:r>
      <w:r w:rsidR="003F0256" w:rsidRPr="007637C9">
        <w:rPr>
          <w:rFonts w:ascii="Times New Roman" w:hAnsi="Times New Roman" w:cs="Times New Roman"/>
          <w:sz w:val="24"/>
          <w:szCs w:val="24"/>
        </w:rPr>
        <w:t>’</w:t>
      </w:r>
      <w:r w:rsidRPr="007637C9">
        <w:rPr>
          <w:rFonts w:ascii="Times New Roman" w:hAnsi="Times New Roman" w:cs="Times New Roman"/>
          <w:sz w:val="24"/>
          <w:szCs w:val="24"/>
        </w:rPr>
        <w:t xml:space="preserve"> and </w:t>
      </w:r>
      <w:r w:rsidR="003F0256" w:rsidRPr="007637C9">
        <w:rPr>
          <w:rFonts w:ascii="Times New Roman" w:hAnsi="Times New Roman" w:cs="Times New Roman"/>
          <w:sz w:val="24"/>
          <w:szCs w:val="24"/>
        </w:rPr>
        <w:t>‘</w:t>
      </w:r>
      <w:r w:rsidRPr="007637C9">
        <w:rPr>
          <w:rFonts w:ascii="Times New Roman" w:hAnsi="Times New Roman" w:cs="Times New Roman"/>
          <w:sz w:val="24"/>
          <w:szCs w:val="24"/>
        </w:rPr>
        <w:t>Selection of Equipment</w:t>
      </w:r>
      <w:r w:rsidR="003F0256" w:rsidRPr="007637C9">
        <w:rPr>
          <w:rFonts w:ascii="Times New Roman" w:hAnsi="Times New Roman" w:cs="Times New Roman"/>
          <w:sz w:val="24"/>
          <w:szCs w:val="24"/>
        </w:rPr>
        <w:t>’</w:t>
      </w:r>
      <w:r w:rsidRPr="007637C9">
        <w:rPr>
          <w:rFonts w:ascii="Times New Roman" w:hAnsi="Times New Roman" w:cs="Times New Roman"/>
          <w:sz w:val="24"/>
          <w:szCs w:val="24"/>
        </w:rPr>
        <w:t xml:space="preserve"> were ranked 4</w:t>
      </w:r>
      <w:r w:rsidRPr="007637C9">
        <w:rPr>
          <w:rFonts w:ascii="Times New Roman" w:hAnsi="Times New Roman" w:cs="Times New Roman"/>
          <w:sz w:val="24"/>
          <w:szCs w:val="24"/>
          <w:vertAlign w:val="superscript"/>
        </w:rPr>
        <w:t>th</w:t>
      </w:r>
      <w:r w:rsidRPr="007637C9">
        <w:rPr>
          <w:rFonts w:ascii="Times New Roman" w:hAnsi="Times New Roman" w:cs="Times New Roman"/>
          <w:sz w:val="24"/>
          <w:szCs w:val="24"/>
        </w:rPr>
        <w:t xml:space="preserve"> and 5</w:t>
      </w:r>
      <w:r w:rsidRPr="007637C9">
        <w:rPr>
          <w:rFonts w:ascii="Times New Roman" w:hAnsi="Times New Roman" w:cs="Times New Roman"/>
          <w:sz w:val="24"/>
          <w:szCs w:val="24"/>
          <w:vertAlign w:val="superscript"/>
        </w:rPr>
        <w:t>th</w:t>
      </w:r>
      <w:r w:rsidRPr="007637C9">
        <w:rPr>
          <w:rFonts w:ascii="Times New Roman" w:hAnsi="Times New Roman" w:cs="Times New Roman"/>
          <w:sz w:val="24"/>
          <w:szCs w:val="24"/>
        </w:rPr>
        <w:t xml:space="preserve"> overall. It is probable that development of the EPA</w:t>
      </w:r>
      <w:r w:rsidR="004641A4" w:rsidRPr="007637C9">
        <w:rPr>
          <w:rFonts w:ascii="Times New Roman" w:hAnsi="Times New Roman" w:cs="Times New Roman"/>
          <w:sz w:val="24"/>
          <w:szCs w:val="24"/>
        </w:rPr>
        <w:t xml:space="preserve"> framework</w:t>
      </w:r>
      <w:r w:rsidRPr="007637C9">
        <w:rPr>
          <w:rFonts w:ascii="Times New Roman" w:hAnsi="Times New Roman" w:cs="Times New Roman"/>
          <w:sz w:val="24"/>
          <w:szCs w:val="24"/>
        </w:rPr>
        <w:t xml:space="preserve"> should result </w:t>
      </w:r>
      <w:r w:rsidR="004353D4" w:rsidRPr="007637C9">
        <w:rPr>
          <w:rFonts w:ascii="Times New Roman" w:hAnsi="Times New Roman" w:cs="Times New Roman"/>
          <w:sz w:val="24"/>
          <w:szCs w:val="24"/>
        </w:rPr>
        <w:t xml:space="preserve">with </w:t>
      </w:r>
      <w:r w:rsidRPr="007637C9">
        <w:rPr>
          <w:rFonts w:ascii="Times New Roman" w:hAnsi="Times New Roman" w:cs="Times New Roman"/>
          <w:sz w:val="24"/>
          <w:szCs w:val="24"/>
        </w:rPr>
        <w:t xml:space="preserve">this statement introduced </w:t>
      </w:r>
      <w:proofErr w:type="gramStart"/>
      <w:r w:rsidRPr="007637C9">
        <w:rPr>
          <w:rFonts w:ascii="Times New Roman" w:hAnsi="Times New Roman" w:cs="Times New Roman"/>
          <w:sz w:val="24"/>
          <w:szCs w:val="24"/>
        </w:rPr>
        <w:t>at a later time</w:t>
      </w:r>
      <w:proofErr w:type="gramEnd"/>
      <w:r w:rsidRPr="007637C9">
        <w:rPr>
          <w:rFonts w:ascii="Times New Roman" w:hAnsi="Times New Roman" w:cs="Times New Roman"/>
          <w:sz w:val="24"/>
          <w:szCs w:val="24"/>
        </w:rPr>
        <w:t xml:space="preserve"> point in the </w:t>
      </w:r>
      <w:r w:rsidRPr="007637C9">
        <w:rPr>
          <w:rFonts w:ascii="Times New Roman" w:hAnsi="Times New Roman" w:cs="Times New Roman"/>
          <w:sz w:val="24"/>
          <w:szCs w:val="24"/>
        </w:rPr>
        <w:lastRenderedPageBreak/>
        <w:t xml:space="preserve">undergraduate programme, for example </w:t>
      </w:r>
      <w:r w:rsidR="004353D4" w:rsidRPr="007637C9">
        <w:rPr>
          <w:rFonts w:ascii="Times New Roman" w:hAnsi="Times New Roman" w:cs="Times New Roman"/>
          <w:sz w:val="24"/>
          <w:szCs w:val="24"/>
        </w:rPr>
        <w:t>at</w:t>
      </w:r>
      <w:r w:rsidRPr="007637C9">
        <w:rPr>
          <w:rFonts w:ascii="Times New Roman" w:hAnsi="Times New Roman" w:cs="Times New Roman"/>
          <w:sz w:val="24"/>
          <w:szCs w:val="24"/>
        </w:rPr>
        <w:t xml:space="preserve"> Level 6, by which time of study they should have developed the threshold knowledge and skills (Mossley, 2017) and be in a position to apply them in a professional practical setting. </w:t>
      </w:r>
    </w:p>
    <w:p w14:paraId="0F2EA9CC" w14:textId="79BB23AB" w:rsidR="00616AA9" w:rsidRDefault="00616AA9" w:rsidP="007637C9">
      <w:pPr>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Examination of the EPA statements through cluster analysis indicated that the statements formed four clusters based on commonalities based on the importance assigned by the students. The first cluster are focused on client safety, while the third cluster relate to professional </w:t>
      </w:r>
      <w:proofErr w:type="gramStart"/>
      <w:r w:rsidRPr="007637C9">
        <w:rPr>
          <w:rFonts w:ascii="Times New Roman" w:hAnsi="Times New Roman" w:cs="Times New Roman"/>
          <w:sz w:val="24"/>
          <w:szCs w:val="24"/>
        </w:rPr>
        <w:t>attributes</w:t>
      </w:r>
      <w:proofErr w:type="gramEnd"/>
      <w:r w:rsidR="00357EAE" w:rsidRPr="007637C9">
        <w:rPr>
          <w:rFonts w:ascii="Times New Roman" w:hAnsi="Times New Roman" w:cs="Times New Roman"/>
          <w:sz w:val="24"/>
          <w:szCs w:val="24"/>
        </w:rPr>
        <w:t xml:space="preserve"> and t</w:t>
      </w:r>
      <w:r w:rsidRPr="007637C9">
        <w:rPr>
          <w:rFonts w:ascii="Times New Roman" w:hAnsi="Times New Roman" w:cs="Times New Roman"/>
          <w:sz w:val="24"/>
          <w:szCs w:val="24"/>
        </w:rPr>
        <w:t>hese roughly align with the first EPA defined by Smith (2019)</w:t>
      </w:r>
      <w:r w:rsidR="00357EAE" w:rsidRPr="007637C9">
        <w:rPr>
          <w:rFonts w:ascii="Times New Roman" w:hAnsi="Times New Roman" w:cs="Times New Roman"/>
          <w:sz w:val="24"/>
          <w:szCs w:val="24"/>
        </w:rPr>
        <w:t xml:space="preserve"> ‘Ensuring Athlete Safety and Welfare’</w:t>
      </w:r>
      <w:r w:rsidRPr="007637C9">
        <w:rPr>
          <w:rFonts w:ascii="Times New Roman" w:hAnsi="Times New Roman" w:cs="Times New Roman"/>
          <w:sz w:val="24"/>
          <w:szCs w:val="24"/>
        </w:rPr>
        <w:t>. Then cluster 2 involved providing information to the client and cluster 4 relate to the practical tasks within sport science support and these two roughly align to the second EPA defined by Smith (2019)</w:t>
      </w:r>
      <w:r w:rsidR="007C20BC" w:rsidRPr="007637C9">
        <w:rPr>
          <w:rFonts w:ascii="Times New Roman" w:hAnsi="Times New Roman" w:cs="Times New Roman"/>
          <w:sz w:val="24"/>
          <w:szCs w:val="24"/>
        </w:rPr>
        <w:t xml:space="preserve"> ‘Undertaking the Assessment Effectively’</w:t>
      </w:r>
      <w:r w:rsidRPr="007637C9">
        <w:rPr>
          <w:rFonts w:ascii="Times New Roman" w:hAnsi="Times New Roman" w:cs="Times New Roman"/>
          <w:sz w:val="24"/>
          <w:szCs w:val="24"/>
        </w:rPr>
        <w:t>.  Comparison of the structure of the</w:t>
      </w:r>
      <w:r w:rsidR="00963686" w:rsidRPr="007637C9">
        <w:rPr>
          <w:rFonts w:ascii="Times New Roman" w:hAnsi="Times New Roman" w:cs="Times New Roman"/>
          <w:sz w:val="24"/>
          <w:szCs w:val="24"/>
        </w:rPr>
        <w:t xml:space="preserve"> current</w:t>
      </w:r>
      <w:r w:rsidRPr="007637C9">
        <w:rPr>
          <w:rFonts w:ascii="Times New Roman" w:hAnsi="Times New Roman" w:cs="Times New Roman"/>
          <w:sz w:val="24"/>
          <w:szCs w:val="24"/>
        </w:rPr>
        <w:t xml:space="preserve"> EPA</w:t>
      </w:r>
      <w:r w:rsidR="00963686" w:rsidRPr="007637C9">
        <w:rPr>
          <w:rFonts w:ascii="Times New Roman" w:hAnsi="Times New Roman" w:cs="Times New Roman"/>
          <w:sz w:val="24"/>
          <w:szCs w:val="24"/>
        </w:rPr>
        <w:t>s</w:t>
      </w:r>
      <w:r w:rsidRPr="007637C9">
        <w:rPr>
          <w:rFonts w:ascii="Times New Roman" w:hAnsi="Times New Roman" w:cs="Times New Roman"/>
          <w:sz w:val="24"/>
          <w:szCs w:val="24"/>
        </w:rPr>
        <w:t xml:space="preserve"> with the work of Smith within </w:t>
      </w:r>
      <w:r w:rsidR="005D54B1" w:rsidRPr="007637C9">
        <w:rPr>
          <w:rFonts w:ascii="Times New Roman" w:hAnsi="Times New Roman" w:cs="Times New Roman"/>
          <w:sz w:val="24"/>
          <w:szCs w:val="24"/>
        </w:rPr>
        <w:t>Sport and Exercise</w:t>
      </w:r>
      <w:r w:rsidRPr="007637C9">
        <w:rPr>
          <w:rFonts w:ascii="Times New Roman" w:hAnsi="Times New Roman" w:cs="Times New Roman"/>
          <w:sz w:val="24"/>
          <w:szCs w:val="24"/>
        </w:rPr>
        <w:t xml:space="preserve"> Sciences and the BASES Accreditation Scheme indicates that the competency matrix is an appropriate a</w:t>
      </w:r>
      <w:r w:rsidR="00963686" w:rsidRPr="007637C9">
        <w:rPr>
          <w:rFonts w:ascii="Times New Roman" w:hAnsi="Times New Roman" w:cs="Times New Roman"/>
          <w:sz w:val="24"/>
          <w:szCs w:val="24"/>
        </w:rPr>
        <w:t>nd</w:t>
      </w:r>
      <w:r w:rsidRPr="007637C9">
        <w:rPr>
          <w:rFonts w:ascii="Times New Roman" w:hAnsi="Times New Roman" w:cs="Times New Roman"/>
          <w:sz w:val="24"/>
          <w:szCs w:val="24"/>
        </w:rPr>
        <w:t xml:space="preserve"> useful tool to facilitate student learning. However, work is needed </w:t>
      </w:r>
      <w:proofErr w:type="gramStart"/>
      <w:r w:rsidRPr="007637C9">
        <w:rPr>
          <w:rFonts w:ascii="Times New Roman" w:hAnsi="Times New Roman" w:cs="Times New Roman"/>
          <w:sz w:val="24"/>
          <w:szCs w:val="24"/>
        </w:rPr>
        <w:t>in light of</w:t>
      </w:r>
      <w:proofErr w:type="gramEnd"/>
      <w:r w:rsidRPr="007637C9">
        <w:rPr>
          <w:rFonts w:ascii="Times New Roman" w:hAnsi="Times New Roman" w:cs="Times New Roman"/>
          <w:sz w:val="24"/>
          <w:szCs w:val="24"/>
        </w:rPr>
        <w:t xml:space="preserve"> the identification of differences between the original EPA statements</w:t>
      </w:r>
      <w:r w:rsidR="00357EAE" w:rsidRPr="007637C9">
        <w:rPr>
          <w:rFonts w:ascii="Times New Roman" w:hAnsi="Times New Roman" w:cs="Times New Roman"/>
          <w:sz w:val="24"/>
          <w:szCs w:val="24"/>
        </w:rPr>
        <w:t xml:space="preserve"> of Smith (2019)</w:t>
      </w:r>
      <w:r w:rsidRPr="007637C9">
        <w:rPr>
          <w:rFonts w:ascii="Times New Roman" w:hAnsi="Times New Roman" w:cs="Times New Roman"/>
          <w:sz w:val="24"/>
          <w:szCs w:val="24"/>
        </w:rPr>
        <w:t xml:space="preserve"> and further mapping should be undertaken to improve the effectiveness of the document to benefit the students going forwards.  A potential solution to this could be the creation of industry-defined core EPA for different </w:t>
      </w:r>
      <w:r w:rsidR="005D54B1" w:rsidRPr="007637C9">
        <w:rPr>
          <w:rFonts w:ascii="Times New Roman" w:hAnsi="Times New Roman" w:cs="Times New Roman"/>
          <w:sz w:val="24"/>
          <w:szCs w:val="24"/>
        </w:rPr>
        <w:t>Sport and Exercise</w:t>
      </w:r>
      <w:r w:rsidRPr="007637C9">
        <w:rPr>
          <w:rFonts w:ascii="Times New Roman" w:hAnsi="Times New Roman" w:cs="Times New Roman"/>
          <w:sz w:val="24"/>
          <w:szCs w:val="24"/>
        </w:rPr>
        <w:t xml:space="preserve"> Sciences disciplines (Physiology, Psychology, Biomechanics, Performance Analysis) based upon the BASES accreditation</w:t>
      </w:r>
      <w:r w:rsidR="007D6995" w:rsidRPr="007637C9">
        <w:rPr>
          <w:rFonts w:ascii="Times New Roman" w:hAnsi="Times New Roman" w:cs="Times New Roman"/>
          <w:sz w:val="24"/>
          <w:szCs w:val="24"/>
        </w:rPr>
        <w:t>.</w:t>
      </w:r>
    </w:p>
    <w:p w14:paraId="0BDDD164" w14:textId="77777777" w:rsidR="000904D8" w:rsidRPr="004C1078" w:rsidRDefault="000904D8" w:rsidP="004C1078">
      <w:pPr>
        <w:spacing w:after="120" w:line="480" w:lineRule="auto"/>
        <w:rPr>
          <w:rFonts w:ascii="Times New Roman" w:hAnsi="Times New Roman" w:cs="Times New Roman"/>
          <w:sz w:val="24"/>
          <w:szCs w:val="24"/>
        </w:rPr>
      </w:pPr>
      <w:r w:rsidRPr="004C1078">
        <w:rPr>
          <w:rFonts w:ascii="Times New Roman" w:hAnsi="Times New Roman" w:cs="Times New Roman"/>
          <w:sz w:val="24"/>
          <w:szCs w:val="24"/>
        </w:rPr>
        <w:t>As students are the end users of undergraduate learning and teaching, changes to educational methods directly impact them. Therefore, understanding student perceptions, thoughts, and feelings towards curricula can assist higher education institutions in developing robust and appropriate delivery.  Previous studies have investigated student perceptions of EPAs to identify and understand how they affect learning (</w:t>
      </w:r>
      <w:proofErr w:type="spellStart"/>
      <w:r w:rsidRPr="004C1078">
        <w:rPr>
          <w:rFonts w:ascii="Times New Roman" w:hAnsi="Times New Roman" w:cs="Times New Roman"/>
          <w:sz w:val="24"/>
          <w:szCs w:val="24"/>
        </w:rPr>
        <w:t>Duijn</w:t>
      </w:r>
      <w:proofErr w:type="spellEnd"/>
      <w:r w:rsidRPr="004C1078">
        <w:rPr>
          <w:rFonts w:ascii="Times New Roman" w:hAnsi="Times New Roman" w:cs="Times New Roman"/>
          <w:sz w:val="24"/>
          <w:szCs w:val="24"/>
        </w:rPr>
        <w:t xml:space="preserve">, </w:t>
      </w:r>
      <w:proofErr w:type="spellStart"/>
      <w:r w:rsidRPr="004C1078">
        <w:rPr>
          <w:rFonts w:ascii="Times New Roman" w:hAnsi="Times New Roman" w:cs="Times New Roman"/>
          <w:sz w:val="24"/>
          <w:szCs w:val="24"/>
        </w:rPr>
        <w:t>Welink</w:t>
      </w:r>
      <w:proofErr w:type="spellEnd"/>
      <w:r w:rsidRPr="004C1078">
        <w:rPr>
          <w:rFonts w:ascii="Times New Roman" w:hAnsi="Times New Roman" w:cs="Times New Roman"/>
          <w:sz w:val="24"/>
          <w:szCs w:val="24"/>
        </w:rPr>
        <w:t xml:space="preserve">, </w:t>
      </w:r>
      <w:proofErr w:type="spellStart"/>
      <w:r w:rsidRPr="004C1078">
        <w:rPr>
          <w:rFonts w:ascii="Times New Roman" w:hAnsi="Times New Roman" w:cs="Times New Roman"/>
          <w:sz w:val="24"/>
          <w:szCs w:val="24"/>
        </w:rPr>
        <w:t>Mandoki</w:t>
      </w:r>
      <w:proofErr w:type="spellEnd"/>
      <w:r w:rsidRPr="004C1078">
        <w:rPr>
          <w:rFonts w:ascii="Times New Roman" w:hAnsi="Times New Roman" w:cs="Times New Roman"/>
          <w:sz w:val="24"/>
          <w:szCs w:val="24"/>
        </w:rPr>
        <w:t xml:space="preserve">, ten Cate, Kremer, and Bok, 2017; Rhodes, </w:t>
      </w:r>
      <w:proofErr w:type="spellStart"/>
      <w:r w:rsidRPr="004C1078">
        <w:rPr>
          <w:rFonts w:ascii="Times New Roman" w:hAnsi="Times New Roman" w:cs="Times New Roman"/>
          <w:sz w:val="24"/>
          <w:szCs w:val="24"/>
        </w:rPr>
        <w:t>Weck</w:t>
      </w:r>
      <w:proofErr w:type="spellEnd"/>
      <w:r w:rsidRPr="004C1078">
        <w:rPr>
          <w:rFonts w:ascii="Times New Roman" w:hAnsi="Times New Roman" w:cs="Times New Roman"/>
          <w:sz w:val="24"/>
          <w:szCs w:val="24"/>
        </w:rPr>
        <w:t xml:space="preserve"> Marciniak, McLaughlin, Melendez, Leadon, &amp; </w:t>
      </w:r>
      <w:proofErr w:type="spellStart"/>
      <w:r w:rsidRPr="004C1078">
        <w:rPr>
          <w:rFonts w:ascii="Times New Roman" w:hAnsi="Times New Roman" w:cs="Times New Roman"/>
          <w:sz w:val="24"/>
          <w:szCs w:val="24"/>
        </w:rPr>
        <w:t>Pinelli</w:t>
      </w:r>
      <w:proofErr w:type="spellEnd"/>
      <w:r w:rsidRPr="004C1078">
        <w:rPr>
          <w:rFonts w:ascii="Times New Roman" w:hAnsi="Times New Roman" w:cs="Times New Roman"/>
          <w:sz w:val="24"/>
          <w:szCs w:val="24"/>
        </w:rPr>
        <w:t xml:space="preserve">, 2017; </w:t>
      </w:r>
      <w:proofErr w:type="spellStart"/>
      <w:r w:rsidRPr="004C1078">
        <w:rPr>
          <w:rFonts w:ascii="Times New Roman" w:hAnsi="Times New Roman" w:cs="Times New Roman"/>
          <w:sz w:val="24"/>
          <w:szCs w:val="24"/>
        </w:rPr>
        <w:lastRenderedPageBreak/>
        <w:t>Pittenger</w:t>
      </w:r>
      <w:proofErr w:type="spellEnd"/>
      <w:r w:rsidRPr="004C1078">
        <w:rPr>
          <w:rFonts w:ascii="Times New Roman" w:hAnsi="Times New Roman" w:cs="Times New Roman"/>
          <w:sz w:val="24"/>
          <w:szCs w:val="24"/>
        </w:rPr>
        <w:t xml:space="preserve">, Gleason, Haines, Neely, &amp; Medina, 2019; Lau, Ang, </w:t>
      </w:r>
      <w:proofErr w:type="spellStart"/>
      <w:r w:rsidRPr="004C1078">
        <w:rPr>
          <w:rFonts w:ascii="Times New Roman" w:hAnsi="Times New Roman" w:cs="Times New Roman"/>
          <w:sz w:val="24"/>
          <w:szCs w:val="24"/>
        </w:rPr>
        <w:t>Samarasekera</w:t>
      </w:r>
      <w:proofErr w:type="spellEnd"/>
      <w:r w:rsidRPr="004C1078">
        <w:rPr>
          <w:rFonts w:ascii="Times New Roman" w:hAnsi="Times New Roman" w:cs="Times New Roman"/>
          <w:sz w:val="24"/>
          <w:szCs w:val="24"/>
        </w:rPr>
        <w:t xml:space="preserve">, &amp; </w:t>
      </w:r>
      <w:proofErr w:type="spellStart"/>
      <w:r w:rsidRPr="004C1078">
        <w:rPr>
          <w:rFonts w:ascii="Times New Roman" w:hAnsi="Times New Roman" w:cs="Times New Roman"/>
          <w:sz w:val="24"/>
          <w:szCs w:val="24"/>
        </w:rPr>
        <w:t>Shorey</w:t>
      </w:r>
      <w:proofErr w:type="spellEnd"/>
      <w:r w:rsidRPr="004C1078">
        <w:rPr>
          <w:rFonts w:ascii="Times New Roman" w:hAnsi="Times New Roman" w:cs="Times New Roman"/>
          <w:sz w:val="24"/>
          <w:szCs w:val="24"/>
        </w:rPr>
        <w:t>, 2020) with generally positive outcomes including relevance (</w:t>
      </w:r>
      <w:proofErr w:type="spellStart"/>
      <w:r w:rsidRPr="004C1078">
        <w:rPr>
          <w:rFonts w:ascii="Times New Roman" w:hAnsi="Times New Roman" w:cs="Times New Roman"/>
          <w:sz w:val="24"/>
          <w:szCs w:val="24"/>
        </w:rPr>
        <w:t>Pittenger</w:t>
      </w:r>
      <w:proofErr w:type="spellEnd"/>
      <w:r w:rsidRPr="004C1078">
        <w:rPr>
          <w:rFonts w:ascii="Times New Roman" w:hAnsi="Times New Roman" w:cs="Times New Roman"/>
          <w:sz w:val="24"/>
          <w:szCs w:val="24"/>
        </w:rPr>
        <w:t xml:space="preserve"> et al., 2019), facilitation of critical thinking (Lau et al., 2020), and aid progression to non-supervision of practical skills (</w:t>
      </w:r>
      <w:proofErr w:type="spellStart"/>
      <w:r w:rsidRPr="004C1078">
        <w:rPr>
          <w:rFonts w:ascii="Times New Roman" w:hAnsi="Times New Roman" w:cs="Times New Roman"/>
          <w:sz w:val="24"/>
          <w:szCs w:val="24"/>
        </w:rPr>
        <w:t>Duijn</w:t>
      </w:r>
      <w:proofErr w:type="spellEnd"/>
      <w:r w:rsidRPr="004C1078">
        <w:rPr>
          <w:rFonts w:ascii="Times New Roman" w:hAnsi="Times New Roman" w:cs="Times New Roman"/>
          <w:sz w:val="24"/>
          <w:szCs w:val="24"/>
        </w:rPr>
        <w:t xml:space="preserve"> et al., 2017). This study follows a similar approach in engaging students in the research process to evaluate the EPA statements and this may provide useful guidance to educators and facilitate the production of student focused learning environments.</w:t>
      </w:r>
    </w:p>
    <w:p w14:paraId="32627B98" w14:textId="0E805703" w:rsidR="00531EDF" w:rsidRPr="007637C9" w:rsidRDefault="00531EDF" w:rsidP="007637C9">
      <w:pPr>
        <w:spacing w:after="120" w:line="480" w:lineRule="auto"/>
        <w:rPr>
          <w:rFonts w:ascii="Times New Roman" w:hAnsi="Times New Roman" w:cs="Times New Roman"/>
          <w:b/>
          <w:bCs/>
          <w:i/>
          <w:sz w:val="24"/>
          <w:szCs w:val="24"/>
        </w:rPr>
      </w:pPr>
      <w:r w:rsidRPr="007637C9">
        <w:rPr>
          <w:rFonts w:ascii="Times New Roman" w:hAnsi="Times New Roman" w:cs="Times New Roman"/>
          <w:b/>
          <w:bCs/>
          <w:i/>
          <w:sz w:val="24"/>
          <w:szCs w:val="24"/>
        </w:rPr>
        <w:t>Issues and Limitations</w:t>
      </w:r>
    </w:p>
    <w:p w14:paraId="1D0181A2" w14:textId="52065C5E" w:rsidR="00FA5240" w:rsidRPr="007637C9" w:rsidRDefault="00531EDF" w:rsidP="007637C9">
      <w:pPr>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The p</w:t>
      </w:r>
      <w:r w:rsidR="007D6995" w:rsidRPr="007637C9">
        <w:rPr>
          <w:rFonts w:ascii="Times New Roman" w:hAnsi="Times New Roman" w:cs="Times New Roman"/>
          <w:sz w:val="24"/>
          <w:szCs w:val="24"/>
        </w:rPr>
        <w:t>aper</w:t>
      </w:r>
      <w:r w:rsidRPr="007637C9">
        <w:rPr>
          <w:rFonts w:ascii="Times New Roman" w:hAnsi="Times New Roman" w:cs="Times New Roman"/>
          <w:sz w:val="24"/>
          <w:szCs w:val="24"/>
        </w:rPr>
        <w:t xml:space="preserve"> is based on the integration of entrustable professional activities into </w:t>
      </w:r>
      <w:r w:rsidR="005D54B1" w:rsidRPr="007637C9">
        <w:rPr>
          <w:rFonts w:ascii="Times New Roman" w:hAnsi="Times New Roman" w:cs="Times New Roman"/>
          <w:sz w:val="24"/>
          <w:szCs w:val="24"/>
        </w:rPr>
        <w:t>Sport and Exercise</w:t>
      </w:r>
      <w:r w:rsidRPr="007637C9">
        <w:rPr>
          <w:rFonts w:ascii="Times New Roman" w:hAnsi="Times New Roman" w:cs="Times New Roman"/>
          <w:sz w:val="24"/>
          <w:szCs w:val="24"/>
        </w:rPr>
        <w:t xml:space="preserve"> </w:t>
      </w:r>
      <w:r w:rsidR="007D6995" w:rsidRPr="007637C9">
        <w:rPr>
          <w:rFonts w:ascii="Times New Roman" w:hAnsi="Times New Roman" w:cs="Times New Roman"/>
          <w:sz w:val="24"/>
          <w:szCs w:val="24"/>
        </w:rPr>
        <w:t>S</w:t>
      </w:r>
      <w:r w:rsidRPr="007637C9">
        <w:rPr>
          <w:rFonts w:ascii="Times New Roman" w:hAnsi="Times New Roman" w:cs="Times New Roman"/>
          <w:sz w:val="24"/>
          <w:szCs w:val="24"/>
        </w:rPr>
        <w:t xml:space="preserve">ciences </w:t>
      </w:r>
      <w:r w:rsidR="007D6995" w:rsidRPr="007637C9">
        <w:rPr>
          <w:rFonts w:ascii="Times New Roman" w:hAnsi="Times New Roman" w:cs="Times New Roman"/>
          <w:sz w:val="24"/>
          <w:szCs w:val="24"/>
        </w:rPr>
        <w:t>undergraduate study</w:t>
      </w:r>
      <w:r w:rsidR="008744C4">
        <w:rPr>
          <w:rFonts w:ascii="Times New Roman" w:hAnsi="Times New Roman" w:cs="Times New Roman"/>
          <w:sz w:val="24"/>
          <w:szCs w:val="24"/>
        </w:rPr>
        <w:t xml:space="preserve"> and is designed to present the case for the use of EPA. No evaluation of the </w:t>
      </w:r>
      <w:r w:rsidR="00C43EE0">
        <w:rPr>
          <w:rFonts w:ascii="Times New Roman" w:hAnsi="Times New Roman" w:cs="Times New Roman"/>
          <w:sz w:val="24"/>
          <w:szCs w:val="24"/>
        </w:rPr>
        <w:t xml:space="preserve">implementation of EPA into the curriculum is presented and future studies should endeavour to understand if EPA improve student success.  </w:t>
      </w:r>
      <w:r w:rsidR="000B37A3">
        <w:rPr>
          <w:rFonts w:ascii="Times New Roman" w:hAnsi="Times New Roman" w:cs="Times New Roman"/>
          <w:sz w:val="24"/>
          <w:szCs w:val="24"/>
        </w:rPr>
        <w:t>Furthermore</w:t>
      </w:r>
      <w:r w:rsidR="00C43EE0">
        <w:rPr>
          <w:rFonts w:ascii="Times New Roman" w:hAnsi="Times New Roman" w:cs="Times New Roman"/>
          <w:sz w:val="24"/>
          <w:szCs w:val="24"/>
        </w:rPr>
        <w:t>, th</w:t>
      </w:r>
      <w:r w:rsidR="007C50A5">
        <w:rPr>
          <w:rFonts w:ascii="Times New Roman" w:hAnsi="Times New Roman" w:cs="Times New Roman"/>
          <w:sz w:val="24"/>
          <w:szCs w:val="24"/>
        </w:rPr>
        <w:t>e EPA in this</w:t>
      </w:r>
      <w:r w:rsidR="00C43EE0">
        <w:rPr>
          <w:rFonts w:ascii="Times New Roman" w:hAnsi="Times New Roman" w:cs="Times New Roman"/>
          <w:sz w:val="24"/>
          <w:szCs w:val="24"/>
        </w:rPr>
        <w:t xml:space="preserve"> study </w:t>
      </w:r>
      <w:r w:rsidR="007C50A5">
        <w:rPr>
          <w:rFonts w:ascii="Times New Roman" w:hAnsi="Times New Roman" w:cs="Times New Roman"/>
          <w:sz w:val="24"/>
          <w:szCs w:val="24"/>
        </w:rPr>
        <w:t>was implemented into programme at a single higher education institution with a specific class size and this will limit the generalisability of the findings. Future studies should focus on widening the scope of EPAs in sport and exercise sciences to ascertain if they are applicable across the discipline.</w:t>
      </w:r>
      <w:r w:rsidR="007D6995" w:rsidRPr="007637C9">
        <w:rPr>
          <w:rFonts w:ascii="Times New Roman" w:hAnsi="Times New Roman" w:cs="Times New Roman"/>
          <w:sz w:val="24"/>
          <w:szCs w:val="24"/>
        </w:rPr>
        <w:t xml:space="preserve">  </w:t>
      </w:r>
      <w:r w:rsidRPr="007637C9">
        <w:rPr>
          <w:rFonts w:ascii="Times New Roman" w:hAnsi="Times New Roman" w:cs="Times New Roman"/>
          <w:sz w:val="24"/>
          <w:szCs w:val="24"/>
        </w:rPr>
        <w:t xml:space="preserve">Ten Cate (2018) described EPAs as a unit of professional practice, while Chen and colleagues (2015) state that EPAs must incorporate abilities and apply them as integrated skills.  More so, EPA links competencies to work-based actions (Meyer et al., 2019) and they are not just competencies in themselves.  An EPA should be related to a clearly defined task that when performed, allow specific competencies to be displayed (Smith, 2019). </w:t>
      </w:r>
      <w:r w:rsidR="004F3D77" w:rsidRPr="007637C9">
        <w:rPr>
          <w:rFonts w:ascii="Times New Roman" w:hAnsi="Times New Roman" w:cs="Times New Roman"/>
          <w:sz w:val="24"/>
          <w:szCs w:val="24"/>
        </w:rPr>
        <w:t xml:space="preserve">It is probable that </w:t>
      </w:r>
      <w:r w:rsidR="007D0CF9" w:rsidRPr="007637C9">
        <w:rPr>
          <w:rFonts w:ascii="Times New Roman" w:hAnsi="Times New Roman" w:cs="Times New Roman"/>
          <w:sz w:val="24"/>
          <w:szCs w:val="24"/>
        </w:rPr>
        <w:t xml:space="preserve">the </w:t>
      </w:r>
      <w:r w:rsidR="004F3D77" w:rsidRPr="007637C9">
        <w:rPr>
          <w:rFonts w:ascii="Times New Roman" w:hAnsi="Times New Roman" w:cs="Times New Roman"/>
          <w:sz w:val="24"/>
          <w:szCs w:val="24"/>
        </w:rPr>
        <w:t xml:space="preserve">EPAs </w:t>
      </w:r>
      <w:r w:rsidR="007D0CF9" w:rsidRPr="007637C9">
        <w:rPr>
          <w:rFonts w:ascii="Times New Roman" w:hAnsi="Times New Roman" w:cs="Times New Roman"/>
          <w:sz w:val="24"/>
          <w:szCs w:val="24"/>
        </w:rPr>
        <w:t xml:space="preserve">in the current study </w:t>
      </w:r>
      <w:r w:rsidR="004F3D77" w:rsidRPr="007637C9">
        <w:rPr>
          <w:rFonts w:ascii="Times New Roman" w:hAnsi="Times New Roman" w:cs="Times New Roman"/>
          <w:sz w:val="24"/>
          <w:szCs w:val="24"/>
        </w:rPr>
        <w:t xml:space="preserve">do not provide enough clarity to make them wholly effective as students were unsure of their </w:t>
      </w:r>
      <w:r w:rsidR="00903114" w:rsidRPr="007637C9">
        <w:rPr>
          <w:rFonts w:ascii="Times New Roman" w:hAnsi="Times New Roman" w:cs="Times New Roman"/>
          <w:sz w:val="24"/>
          <w:szCs w:val="24"/>
        </w:rPr>
        <w:t>exact</w:t>
      </w:r>
      <w:r w:rsidR="004F3D77" w:rsidRPr="007637C9">
        <w:rPr>
          <w:rFonts w:ascii="Times New Roman" w:hAnsi="Times New Roman" w:cs="Times New Roman"/>
          <w:sz w:val="24"/>
          <w:szCs w:val="24"/>
        </w:rPr>
        <w:t xml:space="preserve"> meaning or how an actual EPA differed from a competency.</w:t>
      </w:r>
      <w:r w:rsidR="007D0CF9" w:rsidRPr="007637C9">
        <w:rPr>
          <w:rFonts w:ascii="Times New Roman" w:hAnsi="Times New Roman" w:cs="Times New Roman"/>
          <w:sz w:val="24"/>
          <w:szCs w:val="24"/>
        </w:rPr>
        <w:t xml:space="preserve">  Additionally, the levelness of competencies and</w:t>
      </w:r>
      <w:r w:rsidR="004F3D77" w:rsidRPr="007637C9">
        <w:rPr>
          <w:rFonts w:ascii="Times New Roman" w:hAnsi="Times New Roman" w:cs="Times New Roman"/>
          <w:sz w:val="24"/>
          <w:szCs w:val="24"/>
        </w:rPr>
        <w:t xml:space="preserve"> </w:t>
      </w:r>
      <w:r w:rsidR="007D0CF9" w:rsidRPr="007637C9">
        <w:rPr>
          <w:rFonts w:ascii="Times New Roman" w:hAnsi="Times New Roman" w:cs="Times New Roman"/>
          <w:sz w:val="24"/>
          <w:szCs w:val="24"/>
        </w:rPr>
        <w:t>EPAs require consideration to ensure that they are appropriate to develop student learning.</w:t>
      </w:r>
      <w:r w:rsidR="004F3D77" w:rsidRPr="007637C9">
        <w:rPr>
          <w:rFonts w:ascii="Times New Roman" w:hAnsi="Times New Roman" w:cs="Times New Roman"/>
          <w:sz w:val="24"/>
          <w:szCs w:val="24"/>
        </w:rPr>
        <w:t xml:space="preserve"> </w:t>
      </w:r>
      <w:r w:rsidR="007D0CF9" w:rsidRPr="007637C9">
        <w:rPr>
          <w:rFonts w:ascii="Times New Roman" w:hAnsi="Times New Roman" w:cs="Times New Roman"/>
          <w:sz w:val="24"/>
          <w:szCs w:val="24"/>
        </w:rPr>
        <w:t>A</w:t>
      </w:r>
      <w:r w:rsidR="00EB2DDF" w:rsidRPr="007637C9">
        <w:rPr>
          <w:rFonts w:ascii="Times New Roman" w:hAnsi="Times New Roman" w:cs="Times New Roman"/>
          <w:sz w:val="24"/>
          <w:szCs w:val="24"/>
        </w:rPr>
        <w:t xml:space="preserve"> review of the EPA framework should be undertaken after each year for at least the first few iterations </w:t>
      </w:r>
      <w:r w:rsidR="00320FA6" w:rsidRPr="007637C9">
        <w:rPr>
          <w:rFonts w:ascii="Times New Roman" w:hAnsi="Times New Roman" w:cs="Times New Roman"/>
          <w:sz w:val="24"/>
          <w:szCs w:val="24"/>
        </w:rPr>
        <w:t xml:space="preserve">of a module </w:t>
      </w:r>
      <w:r w:rsidR="00EB2DDF" w:rsidRPr="007637C9">
        <w:rPr>
          <w:rFonts w:ascii="Times New Roman" w:hAnsi="Times New Roman" w:cs="Times New Roman"/>
          <w:sz w:val="24"/>
          <w:szCs w:val="24"/>
        </w:rPr>
        <w:t>to address any issues in its implementation</w:t>
      </w:r>
      <w:r w:rsidR="00C46F53" w:rsidRPr="007637C9">
        <w:rPr>
          <w:rFonts w:ascii="Times New Roman" w:hAnsi="Times New Roman" w:cs="Times New Roman"/>
          <w:sz w:val="24"/>
          <w:szCs w:val="24"/>
        </w:rPr>
        <w:t xml:space="preserve">. This </w:t>
      </w:r>
      <w:r w:rsidR="00C46F53" w:rsidRPr="007637C9">
        <w:rPr>
          <w:rFonts w:ascii="Times New Roman" w:hAnsi="Times New Roman" w:cs="Times New Roman"/>
          <w:sz w:val="24"/>
          <w:szCs w:val="24"/>
        </w:rPr>
        <w:lastRenderedPageBreak/>
        <w:t>would form</w:t>
      </w:r>
      <w:r w:rsidR="00EB2DDF" w:rsidRPr="007637C9">
        <w:rPr>
          <w:rFonts w:ascii="Times New Roman" w:hAnsi="Times New Roman" w:cs="Times New Roman"/>
          <w:sz w:val="24"/>
          <w:szCs w:val="24"/>
        </w:rPr>
        <w:t xml:space="preserve"> good pedagogic practice a</w:t>
      </w:r>
      <w:r w:rsidR="00C46F53" w:rsidRPr="007637C9">
        <w:rPr>
          <w:rFonts w:ascii="Times New Roman" w:hAnsi="Times New Roman" w:cs="Times New Roman"/>
          <w:sz w:val="24"/>
          <w:szCs w:val="24"/>
        </w:rPr>
        <w:t>s a</w:t>
      </w:r>
      <w:r w:rsidR="00357EAE" w:rsidRPr="007637C9">
        <w:rPr>
          <w:rFonts w:ascii="Times New Roman" w:hAnsi="Times New Roman" w:cs="Times New Roman"/>
          <w:sz w:val="24"/>
          <w:szCs w:val="24"/>
        </w:rPr>
        <w:t xml:space="preserve"> </w:t>
      </w:r>
      <w:r w:rsidR="00EB2DDF" w:rsidRPr="007637C9">
        <w:rPr>
          <w:rFonts w:ascii="Times New Roman" w:hAnsi="Times New Roman" w:cs="Times New Roman"/>
          <w:sz w:val="24"/>
          <w:szCs w:val="24"/>
        </w:rPr>
        <w:t xml:space="preserve">more refined understanding of the meaning of </w:t>
      </w:r>
      <w:r w:rsidR="00C46F53" w:rsidRPr="007637C9">
        <w:rPr>
          <w:rFonts w:ascii="Times New Roman" w:hAnsi="Times New Roman" w:cs="Times New Roman"/>
          <w:sz w:val="24"/>
          <w:szCs w:val="24"/>
        </w:rPr>
        <w:t xml:space="preserve">the </w:t>
      </w:r>
      <w:r w:rsidR="00EB2DDF" w:rsidRPr="007637C9">
        <w:rPr>
          <w:rFonts w:ascii="Times New Roman" w:hAnsi="Times New Roman" w:cs="Times New Roman"/>
          <w:sz w:val="24"/>
          <w:szCs w:val="24"/>
        </w:rPr>
        <w:t>EPA</w:t>
      </w:r>
      <w:r w:rsidR="00C46F53" w:rsidRPr="007637C9">
        <w:rPr>
          <w:rFonts w:ascii="Times New Roman" w:hAnsi="Times New Roman" w:cs="Times New Roman"/>
          <w:sz w:val="24"/>
          <w:szCs w:val="24"/>
        </w:rPr>
        <w:t>s</w:t>
      </w:r>
      <w:r w:rsidR="00EB2DDF" w:rsidRPr="007637C9">
        <w:rPr>
          <w:rFonts w:ascii="Times New Roman" w:hAnsi="Times New Roman" w:cs="Times New Roman"/>
          <w:sz w:val="24"/>
          <w:szCs w:val="24"/>
        </w:rPr>
        <w:t xml:space="preserve"> and an integration of new thoughts on what defines EPAs </w:t>
      </w:r>
      <w:r w:rsidR="002209A8" w:rsidRPr="007637C9">
        <w:rPr>
          <w:rFonts w:ascii="Times New Roman" w:hAnsi="Times New Roman" w:cs="Times New Roman"/>
          <w:sz w:val="24"/>
          <w:szCs w:val="24"/>
        </w:rPr>
        <w:t xml:space="preserve">would </w:t>
      </w:r>
      <w:r w:rsidR="00EB2DDF" w:rsidRPr="007637C9">
        <w:rPr>
          <w:rFonts w:ascii="Times New Roman" w:hAnsi="Times New Roman" w:cs="Times New Roman"/>
          <w:sz w:val="24"/>
          <w:szCs w:val="24"/>
        </w:rPr>
        <w:t xml:space="preserve">allow the project to develop. </w:t>
      </w:r>
      <w:r w:rsidR="00EE786F" w:rsidRPr="007637C9">
        <w:rPr>
          <w:rFonts w:ascii="Times New Roman" w:hAnsi="Times New Roman" w:cs="Times New Roman"/>
          <w:sz w:val="24"/>
          <w:szCs w:val="24"/>
        </w:rPr>
        <w:t>In creating module descriptors</w:t>
      </w:r>
      <w:r w:rsidR="000B7AEF" w:rsidRPr="007637C9">
        <w:rPr>
          <w:rFonts w:ascii="Times New Roman" w:hAnsi="Times New Roman" w:cs="Times New Roman"/>
          <w:sz w:val="24"/>
          <w:szCs w:val="24"/>
        </w:rPr>
        <w:t>,</w:t>
      </w:r>
      <w:r w:rsidR="00EE786F" w:rsidRPr="007637C9">
        <w:rPr>
          <w:rFonts w:ascii="Times New Roman" w:hAnsi="Times New Roman" w:cs="Times New Roman"/>
          <w:sz w:val="24"/>
          <w:szCs w:val="24"/>
        </w:rPr>
        <w:t xml:space="preserve"> flexibility in terms of the description of the </w:t>
      </w:r>
      <w:r w:rsidR="003B1115" w:rsidRPr="007637C9">
        <w:rPr>
          <w:rFonts w:ascii="Times New Roman" w:hAnsi="Times New Roman" w:cs="Times New Roman"/>
          <w:sz w:val="24"/>
          <w:szCs w:val="24"/>
        </w:rPr>
        <w:t xml:space="preserve">module content, delivery and assessment would enable minor alterations to be made without </w:t>
      </w:r>
      <w:r w:rsidR="000B7AEF" w:rsidRPr="007637C9">
        <w:rPr>
          <w:rFonts w:ascii="Times New Roman" w:hAnsi="Times New Roman" w:cs="Times New Roman"/>
          <w:sz w:val="24"/>
          <w:szCs w:val="24"/>
        </w:rPr>
        <w:t>requiring frequent</w:t>
      </w:r>
      <w:r w:rsidR="00912DD3" w:rsidRPr="007637C9">
        <w:rPr>
          <w:rFonts w:ascii="Times New Roman" w:hAnsi="Times New Roman" w:cs="Times New Roman"/>
          <w:sz w:val="24"/>
          <w:szCs w:val="24"/>
        </w:rPr>
        <w:t xml:space="preserve"> module changes to go through quality assurance</w:t>
      </w:r>
      <w:r w:rsidR="000B7AEF" w:rsidRPr="007637C9">
        <w:rPr>
          <w:rFonts w:ascii="Times New Roman" w:hAnsi="Times New Roman" w:cs="Times New Roman"/>
          <w:sz w:val="24"/>
          <w:szCs w:val="24"/>
        </w:rPr>
        <w:t xml:space="preserve"> </w:t>
      </w:r>
      <w:r w:rsidR="00912DD3" w:rsidRPr="007637C9">
        <w:rPr>
          <w:rFonts w:ascii="Times New Roman" w:hAnsi="Times New Roman" w:cs="Times New Roman"/>
          <w:sz w:val="24"/>
          <w:szCs w:val="24"/>
        </w:rPr>
        <w:t xml:space="preserve">processes unnecessarily. </w:t>
      </w:r>
      <w:r w:rsidR="004371C5" w:rsidRPr="007637C9">
        <w:rPr>
          <w:rFonts w:ascii="Times New Roman" w:hAnsi="Times New Roman" w:cs="Times New Roman"/>
          <w:sz w:val="24"/>
          <w:szCs w:val="24"/>
        </w:rPr>
        <w:t xml:space="preserve"> In addition, Level 4 students may fail to understand </w:t>
      </w:r>
      <w:r w:rsidR="0019100D" w:rsidRPr="007637C9">
        <w:rPr>
          <w:rFonts w:ascii="Times New Roman" w:hAnsi="Times New Roman" w:cs="Times New Roman"/>
          <w:sz w:val="24"/>
          <w:szCs w:val="24"/>
        </w:rPr>
        <w:t xml:space="preserve">the concepts such as autonomy, </w:t>
      </w:r>
      <w:r w:rsidR="004761DC" w:rsidRPr="007637C9">
        <w:rPr>
          <w:rFonts w:ascii="Times New Roman" w:hAnsi="Times New Roman" w:cs="Times New Roman"/>
          <w:sz w:val="24"/>
          <w:szCs w:val="24"/>
        </w:rPr>
        <w:t>validity and reliability, inclusion and diversity which may limit their ability to rate these attributes.</w:t>
      </w:r>
      <w:r w:rsidR="009B5F93" w:rsidRPr="007637C9">
        <w:rPr>
          <w:rFonts w:ascii="Times New Roman" w:hAnsi="Times New Roman" w:cs="Times New Roman"/>
          <w:sz w:val="24"/>
          <w:szCs w:val="24"/>
        </w:rPr>
        <w:t xml:space="preserve"> Clear articulations of the EPA statements </w:t>
      </w:r>
      <w:proofErr w:type="gramStart"/>
      <w:r w:rsidR="009B5F93" w:rsidRPr="007637C9">
        <w:rPr>
          <w:rFonts w:ascii="Times New Roman" w:hAnsi="Times New Roman" w:cs="Times New Roman"/>
          <w:sz w:val="24"/>
          <w:szCs w:val="24"/>
        </w:rPr>
        <w:t>is</w:t>
      </w:r>
      <w:proofErr w:type="gramEnd"/>
      <w:r w:rsidR="009B5F93" w:rsidRPr="007637C9">
        <w:rPr>
          <w:rFonts w:ascii="Times New Roman" w:hAnsi="Times New Roman" w:cs="Times New Roman"/>
          <w:sz w:val="24"/>
          <w:szCs w:val="24"/>
        </w:rPr>
        <w:t xml:space="preserve"> required to ensure student understanding </w:t>
      </w:r>
      <w:r w:rsidR="00DB63D4" w:rsidRPr="007637C9">
        <w:rPr>
          <w:rFonts w:ascii="Times New Roman" w:hAnsi="Times New Roman" w:cs="Times New Roman"/>
          <w:sz w:val="24"/>
          <w:szCs w:val="24"/>
        </w:rPr>
        <w:t xml:space="preserve">of these factors. </w:t>
      </w:r>
    </w:p>
    <w:p w14:paraId="437FDD1A" w14:textId="214BA2D7" w:rsidR="00574EA0" w:rsidRPr="00CF4068" w:rsidRDefault="00CF4068" w:rsidP="00CF4068">
      <w:pPr>
        <w:pStyle w:val="ListParagraph"/>
        <w:numPr>
          <w:ilvl w:val="1"/>
          <w:numId w:val="2"/>
        </w:numPr>
        <w:tabs>
          <w:tab w:val="left" w:pos="6840"/>
        </w:tabs>
        <w:spacing w:after="120" w:line="480" w:lineRule="auto"/>
        <w:rPr>
          <w:b/>
        </w:rPr>
      </w:pPr>
      <w:r>
        <w:rPr>
          <w:b/>
        </w:rPr>
        <w:t xml:space="preserve"> </w:t>
      </w:r>
      <w:r w:rsidR="00574EA0" w:rsidRPr="00CF4068">
        <w:rPr>
          <w:b/>
        </w:rPr>
        <w:t>Conclusion</w:t>
      </w:r>
    </w:p>
    <w:p w14:paraId="4785517B" w14:textId="31394D5A" w:rsidR="00AB76C8" w:rsidRPr="007637C9" w:rsidRDefault="004F3D77" w:rsidP="007637C9">
      <w:pPr>
        <w:tabs>
          <w:tab w:val="left" w:pos="6840"/>
        </w:tabs>
        <w:spacing w:after="120" w:line="480" w:lineRule="auto"/>
        <w:rPr>
          <w:rFonts w:ascii="Times New Roman" w:hAnsi="Times New Roman" w:cs="Times New Roman"/>
          <w:sz w:val="24"/>
          <w:szCs w:val="24"/>
        </w:rPr>
      </w:pPr>
      <w:r w:rsidRPr="007637C9">
        <w:rPr>
          <w:rFonts w:ascii="Times New Roman" w:hAnsi="Times New Roman" w:cs="Times New Roman"/>
          <w:sz w:val="24"/>
          <w:szCs w:val="24"/>
        </w:rPr>
        <w:t xml:space="preserve">Entrustable </w:t>
      </w:r>
      <w:r w:rsidRPr="007637C9">
        <w:rPr>
          <w:rFonts w:ascii="Times New Roman" w:eastAsia="Times New Roman" w:hAnsi="Times New Roman" w:cs="Times New Roman"/>
          <w:color w:val="000000"/>
          <w:sz w:val="24"/>
          <w:szCs w:val="24"/>
          <w:lang w:eastAsia="en-GB"/>
        </w:rPr>
        <w:t xml:space="preserve">professional activities </w:t>
      </w:r>
      <w:r w:rsidRPr="007637C9">
        <w:rPr>
          <w:rFonts w:ascii="Times New Roman" w:hAnsi="Times New Roman" w:cs="Times New Roman"/>
          <w:sz w:val="24"/>
          <w:szCs w:val="24"/>
        </w:rPr>
        <w:t>are a modern and updated version of competency-based medical education that utilise specific tasks as a pedagogic approach to develop student abilities. EPAs can be termed units of professional practice and EPAs link competencies to work-based actions in an integrated process.  EPA</w:t>
      </w:r>
      <w:r w:rsidR="00DE44D9" w:rsidRPr="007637C9">
        <w:rPr>
          <w:rFonts w:ascii="Times New Roman" w:hAnsi="Times New Roman" w:cs="Times New Roman"/>
          <w:sz w:val="24"/>
          <w:szCs w:val="24"/>
        </w:rPr>
        <w:t>s</w:t>
      </w:r>
      <w:r w:rsidRPr="007637C9">
        <w:rPr>
          <w:rFonts w:ascii="Times New Roman" w:hAnsi="Times New Roman" w:cs="Times New Roman"/>
          <w:sz w:val="24"/>
          <w:szCs w:val="24"/>
        </w:rPr>
        <w:t xml:space="preserve"> </w:t>
      </w:r>
      <w:r w:rsidR="00AB76C8" w:rsidRPr="007637C9">
        <w:rPr>
          <w:rFonts w:ascii="Times New Roman" w:eastAsia="Times New Roman" w:hAnsi="Times New Roman" w:cs="Times New Roman"/>
          <w:color w:val="000000"/>
          <w:sz w:val="24"/>
          <w:szCs w:val="24"/>
          <w:lang w:eastAsia="en-GB"/>
        </w:rPr>
        <w:t>and competencies provide clear alignment</w:t>
      </w:r>
      <w:r w:rsidR="00357EAE" w:rsidRPr="007637C9">
        <w:rPr>
          <w:rFonts w:ascii="Times New Roman" w:eastAsia="Times New Roman" w:hAnsi="Times New Roman" w:cs="Times New Roman"/>
          <w:color w:val="000000"/>
          <w:sz w:val="24"/>
          <w:szCs w:val="24"/>
          <w:lang w:eastAsia="en-GB"/>
        </w:rPr>
        <w:t xml:space="preserve"> of learning activities and </w:t>
      </w:r>
      <w:r w:rsidR="00430924" w:rsidRPr="007637C9">
        <w:rPr>
          <w:rFonts w:ascii="Times New Roman" w:eastAsia="Times New Roman" w:hAnsi="Times New Roman" w:cs="Times New Roman"/>
          <w:color w:val="000000"/>
          <w:sz w:val="24"/>
          <w:szCs w:val="24"/>
          <w:lang w:eastAsia="en-GB"/>
        </w:rPr>
        <w:t>practical skill development</w:t>
      </w:r>
      <w:r w:rsidR="00AB76C8" w:rsidRPr="007637C9">
        <w:rPr>
          <w:rFonts w:ascii="Times New Roman" w:eastAsia="Times New Roman" w:hAnsi="Times New Roman" w:cs="Times New Roman"/>
          <w:color w:val="000000"/>
          <w:sz w:val="24"/>
          <w:szCs w:val="24"/>
          <w:lang w:eastAsia="en-GB"/>
        </w:rPr>
        <w:t xml:space="preserve"> </w:t>
      </w:r>
      <w:r w:rsidR="00430924" w:rsidRPr="007637C9">
        <w:rPr>
          <w:rFonts w:ascii="Times New Roman" w:eastAsia="Times New Roman" w:hAnsi="Times New Roman" w:cs="Times New Roman"/>
          <w:color w:val="000000"/>
          <w:sz w:val="24"/>
          <w:szCs w:val="24"/>
          <w:lang w:eastAsia="en-GB"/>
        </w:rPr>
        <w:t>in</w:t>
      </w:r>
      <w:r w:rsidR="00AB76C8" w:rsidRPr="007637C9">
        <w:rPr>
          <w:rFonts w:ascii="Times New Roman" w:eastAsia="Times New Roman" w:hAnsi="Times New Roman" w:cs="Times New Roman"/>
          <w:color w:val="000000"/>
          <w:sz w:val="24"/>
          <w:szCs w:val="24"/>
          <w:lang w:eastAsia="en-GB"/>
        </w:rPr>
        <w:t xml:space="preserve"> discipline of </w:t>
      </w:r>
      <w:r w:rsidR="005D54B1" w:rsidRPr="007637C9">
        <w:rPr>
          <w:rFonts w:ascii="Times New Roman" w:eastAsia="Times New Roman" w:hAnsi="Times New Roman" w:cs="Times New Roman"/>
          <w:color w:val="000000"/>
          <w:sz w:val="24"/>
          <w:szCs w:val="24"/>
          <w:lang w:eastAsia="en-GB"/>
        </w:rPr>
        <w:t>Sport and Exercise</w:t>
      </w:r>
      <w:r w:rsidR="00AB76C8" w:rsidRPr="007637C9">
        <w:rPr>
          <w:rFonts w:ascii="Times New Roman" w:eastAsia="Times New Roman" w:hAnsi="Times New Roman" w:cs="Times New Roman"/>
          <w:color w:val="000000"/>
          <w:sz w:val="24"/>
          <w:szCs w:val="24"/>
          <w:lang w:eastAsia="en-GB"/>
        </w:rPr>
        <w:t xml:space="preserve"> Sciences towards students’ professional development of attributes and skills. This is very important in developing work-ready </w:t>
      </w:r>
      <w:r w:rsidR="00430924" w:rsidRPr="007637C9">
        <w:rPr>
          <w:rFonts w:ascii="Times New Roman" w:eastAsia="Times New Roman" w:hAnsi="Times New Roman" w:cs="Times New Roman"/>
          <w:color w:val="000000"/>
          <w:sz w:val="24"/>
          <w:szCs w:val="24"/>
          <w:lang w:eastAsia="en-GB"/>
        </w:rPr>
        <w:t>s</w:t>
      </w:r>
      <w:r w:rsidR="00AB76C8" w:rsidRPr="007637C9">
        <w:rPr>
          <w:rFonts w:ascii="Times New Roman" w:eastAsia="Times New Roman" w:hAnsi="Times New Roman" w:cs="Times New Roman"/>
          <w:color w:val="000000"/>
          <w:sz w:val="24"/>
          <w:szCs w:val="24"/>
          <w:lang w:eastAsia="en-GB"/>
        </w:rPr>
        <w:t xml:space="preserve">port </w:t>
      </w:r>
      <w:r w:rsidR="00430924" w:rsidRPr="007637C9">
        <w:rPr>
          <w:rFonts w:ascii="Times New Roman" w:eastAsia="Times New Roman" w:hAnsi="Times New Roman" w:cs="Times New Roman"/>
          <w:color w:val="000000"/>
          <w:sz w:val="24"/>
          <w:szCs w:val="24"/>
          <w:lang w:eastAsia="en-GB"/>
        </w:rPr>
        <w:t>and</w:t>
      </w:r>
      <w:r w:rsidR="00AB76C8" w:rsidRPr="007637C9">
        <w:rPr>
          <w:rFonts w:ascii="Times New Roman" w:eastAsia="Times New Roman" w:hAnsi="Times New Roman" w:cs="Times New Roman"/>
          <w:color w:val="000000"/>
          <w:sz w:val="24"/>
          <w:szCs w:val="24"/>
          <w:lang w:eastAsia="en-GB"/>
        </w:rPr>
        <w:t xml:space="preserve"> </w:t>
      </w:r>
      <w:r w:rsidR="00430924" w:rsidRPr="007637C9">
        <w:rPr>
          <w:rFonts w:ascii="Times New Roman" w:eastAsia="Times New Roman" w:hAnsi="Times New Roman" w:cs="Times New Roman"/>
          <w:color w:val="000000"/>
          <w:sz w:val="24"/>
          <w:szCs w:val="24"/>
          <w:lang w:eastAsia="en-GB"/>
        </w:rPr>
        <w:t>e</w:t>
      </w:r>
      <w:r w:rsidR="00AB76C8" w:rsidRPr="007637C9">
        <w:rPr>
          <w:rFonts w:ascii="Times New Roman" w:eastAsia="Times New Roman" w:hAnsi="Times New Roman" w:cs="Times New Roman"/>
          <w:color w:val="000000"/>
          <w:sz w:val="24"/>
          <w:szCs w:val="24"/>
          <w:lang w:eastAsia="en-GB"/>
        </w:rPr>
        <w:t xml:space="preserve">xercise </w:t>
      </w:r>
      <w:r w:rsidR="00430924" w:rsidRPr="007637C9">
        <w:rPr>
          <w:rFonts w:ascii="Times New Roman" w:eastAsia="Times New Roman" w:hAnsi="Times New Roman" w:cs="Times New Roman"/>
          <w:color w:val="000000"/>
          <w:sz w:val="24"/>
          <w:szCs w:val="24"/>
          <w:lang w:eastAsia="en-GB"/>
        </w:rPr>
        <w:t>s</w:t>
      </w:r>
      <w:r w:rsidR="00AB76C8" w:rsidRPr="007637C9">
        <w:rPr>
          <w:rFonts w:ascii="Times New Roman" w:eastAsia="Times New Roman" w:hAnsi="Times New Roman" w:cs="Times New Roman"/>
          <w:color w:val="000000"/>
          <w:sz w:val="24"/>
          <w:szCs w:val="24"/>
          <w:lang w:eastAsia="en-GB"/>
        </w:rPr>
        <w:t>cientist on graduation and ensuring they are aware of the requirements of the role at</w:t>
      </w:r>
      <w:r w:rsidR="00430924" w:rsidRPr="007637C9">
        <w:rPr>
          <w:rFonts w:ascii="Times New Roman" w:eastAsia="Times New Roman" w:hAnsi="Times New Roman" w:cs="Times New Roman"/>
          <w:color w:val="000000"/>
          <w:sz w:val="24"/>
          <w:szCs w:val="24"/>
          <w:lang w:eastAsia="en-GB"/>
        </w:rPr>
        <w:t xml:space="preserve"> the</w:t>
      </w:r>
      <w:r w:rsidR="00AB76C8" w:rsidRPr="007637C9">
        <w:rPr>
          <w:rFonts w:ascii="Times New Roman" w:eastAsia="Times New Roman" w:hAnsi="Times New Roman" w:cs="Times New Roman"/>
          <w:color w:val="000000"/>
          <w:sz w:val="24"/>
          <w:szCs w:val="24"/>
          <w:lang w:eastAsia="en-GB"/>
        </w:rPr>
        <w:t xml:space="preserve"> </w:t>
      </w:r>
      <w:r w:rsidR="00DE44D9" w:rsidRPr="007637C9">
        <w:rPr>
          <w:rFonts w:ascii="Times New Roman" w:eastAsia="Times New Roman" w:hAnsi="Times New Roman" w:cs="Times New Roman"/>
          <w:color w:val="000000"/>
          <w:sz w:val="24"/>
          <w:szCs w:val="24"/>
          <w:lang w:eastAsia="en-GB"/>
        </w:rPr>
        <w:t>start of their development</w:t>
      </w:r>
      <w:r w:rsidR="00AB76C8" w:rsidRPr="007637C9">
        <w:rPr>
          <w:rFonts w:ascii="Times New Roman" w:eastAsia="Times New Roman" w:hAnsi="Times New Roman" w:cs="Times New Roman"/>
          <w:color w:val="000000"/>
          <w:sz w:val="24"/>
          <w:szCs w:val="24"/>
          <w:lang w:eastAsia="en-GB"/>
        </w:rPr>
        <w:t xml:space="preserve">. Students identified that the most important competencies were </w:t>
      </w:r>
      <w:r w:rsidR="00AB76C8" w:rsidRPr="007637C9">
        <w:rPr>
          <w:rFonts w:ascii="Times New Roman" w:hAnsi="Times New Roman" w:cs="Times New Roman"/>
          <w:sz w:val="24"/>
          <w:szCs w:val="24"/>
        </w:rPr>
        <w:t xml:space="preserve">maintaining health and safety, duty of care, and communication of procedure with the least important being autonomy of practice.  The three most important competencies focus on ensuring you look after your client and the pedagogic approach to teaching and learning is achieving a desired outcome and are preparing the students to act in an appropriate manner. Additionally, these are generic competencies that can be applied at all levels on an undergraduate </w:t>
      </w:r>
      <w:r w:rsidR="005D54B1" w:rsidRPr="007637C9">
        <w:rPr>
          <w:rFonts w:ascii="Times New Roman" w:hAnsi="Times New Roman" w:cs="Times New Roman"/>
          <w:sz w:val="24"/>
          <w:szCs w:val="24"/>
        </w:rPr>
        <w:t>Sport and Exercise</w:t>
      </w:r>
      <w:r w:rsidR="00AB76C8" w:rsidRPr="007637C9">
        <w:rPr>
          <w:rFonts w:ascii="Times New Roman" w:hAnsi="Times New Roman" w:cs="Times New Roman"/>
          <w:sz w:val="24"/>
          <w:szCs w:val="24"/>
        </w:rPr>
        <w:t xml:space="preserve"> Sciences programme.</w:t>
      </w:r>
    </w:p>
    <w:p w14:paraId="3FBDD570" w14:textId="77777777" w:rsidR="00BA3802" w:rsidRPr="007637C9" w:rsidRDefault="00BA3802" w:rsidP="007637C9">
      <w:pPr>
        <w:spacing w:after="120" w:line="480" w:lineRule="auto"/>
        <w:rPr>
          <w:rFonts w:ascii="Times New Roman" w:eastAsia="Times New Roman" w:hAnsi="Times New Roman" w:cs="Times New Roman"/>
          <w:sz w:val="24"/>
          <w:szCs w:val="24"/>
          <w:lang w:eastAsia="en-GB"/>
        </w:rPr>
      </w:pPr>
      <w:r w:rsidRPr="007637C9">
        <w:rPr>
          <w:rFonts w:ascii="Times New Roman" w:hAnsi="Times New Roman" w:cs="Times New Roman"/>
          <w:b/>
          <w:bCs/>
          <w:sz w:val="24"/>
          <w:szCs w:val="24"/>
        </w:rPr>
        <w:lastRenderedPageBreak/>
        <w:t>Declaration of Interests:</w:t>
      </w:r>
      <w:r w:rsidRPr="007637C9">
        <w:rPr>
          <w:rFonts w:ascii="Times New Roman" w:hAnsi="Times New Roman" w:cs="Times New Roman"/>
          <w:sz w:val="24"/>
          <w:szCs w:val="24"/>
        </w:rPr>
        <w:t xml:space="preserve"> The authors declare that they have no known competing financial interests or personal relationships that could have appeared to influence the work reported in this paper.</w:t>
      </w:r>
    </w:p>
    <w:p w14:paraId="10E4ACDF" w14:textId="60C0A457" w:rsidR="009D62C9" w:rsidRPr="007637C9" w:rsidRDefault="009D62C9" w:rsidP="00CF4068">
      <w:pPr>
        <w:pStyle w:val="ListParagraph"/>
        <w:numPr>
          <w:ilvl w:val="0"/>
          <w:numId w:val="2"/>
        </w:numPr>
        <w:spacing w:after="120" w:line="480" w:lineRule="auto"/>
        <w:contextualSpacing w:val="0"/>
        <w:rPr>
          <w:b/>
        </w:rPr>
      </w:pPr>
      <w:r w:rsidRPr="007637C9">
        <w:rPr>
          <w:b/>
        </w:rPr>
        <w:t>References</w:t>
      </w:r>
    </w:p>
    <w:p w14:paraId="2FC8AB46" w14:textId="510EF7F2" w:rsidR="009D62C9" w:rsidRPr="007637C9" w:rsidRDefault="009D62C9" w:rsidP="007637C9">
      <w:pPr>
        <w:pStyle w:val="ListParagraph"/>
        <w:numPr>
          <w:ilvl w:val="0"/>
          <w:numId w:val="1"/>
        </w:numPr>
        <w:tabs>
          <w:tab w:val="center" w:pos="4320"/>
          <w:tab w:val="left" w:pos="6840"/>
          <w:tab w:val="right" w:pos="8640"/>
        </w:tabs>
        <w:spacing w:after="120" w:line="480" w:lineRule="auto"/>
        <w:ind w:left="340"/>
        <w:rPr>
          <w:bCs/>
          <w:iCs/>
        </w:rPr>
      </w:pPr>
      <w:r w:rsidRPr="007637C9">
        <w:t>Block, J.</w:t>
      </w:r>
      <w:r w:rsidR="00BC257A">
        <w:t xml:space="preserve"> </w:t>
      </w:r>
      <w:r w:rsidRPr="007637C9">
        <w:t xml:space="preserve">H. (1974). </w:t>
      </w:r>
      <w:r w:rsidRPr="007637C9">
        <w:rPr>
          <w:i/>
          <w:iCs/>
        </w:rPr>
        <w:t>Schools, society, and mastery learning</w:t>
      </w:r>
      <w:r w:rsidRPr="007637C9">
        <w:t xml:space="preserve">. Holt, </w:t>
      </w:r>
      <w:proofErr w:type="gramStart"/>
      <w:r w:rsidRPr="007637C9">
        <w:t>Rinehart</w:t>
      </w:r>
      <w:proofErr w:type="gramEnd"/>
      <w:r w:rsidRPr="007637C9">
        <w:t xml:space="preserve"> and Winston. </w:t>
      </w:r>
    </w:p>
    <w:p w14:paraId="405F621D" w14:textId="538A0764" w:rsidR="009D62C9" w:rsidRPr="007637C9" w:rsidRDefault="009D62C9" w:rsidP="007637C9">
      <w:pPr>
        <w:pStyle w:val="ListParagraph"/>
        <w:numPr>
          <w:ilvl w:val="0"/>
          <w:numId w:val="1"/>
        </w:numPr>
        <w:tabs>
          <w:tab w:val="left" w:pos="6840"/>
        </w:tabs>
        <w:spacing w:after="120" w:line="480" w:lineRule="auto"/>
        <w:ind w:left="340"/>
      </w:pPr>
      <w:proofErr w:type="spellStart"/>
      <w:r w:rsidRPr="007637C9">
        <w:t>Carraccio</w:t>
      </w:r>
      <w:proofErr w:type="spellEnd"/>
      <w:r w:rsidRPr="007637C9">
        <w:t xml:space="preserve">, C., </w:t>
      </w:r>
      <w:proofErr w:type="spellStart"/>
      <w:r w:rsidRPr="007637C9">
        <w:t>Wolfsthal</w:t>
      </w:r>
      <w:proofErr w:type="spellEnd"/>
      <w:r w:rsidRPr="007637C9">
        <w:t>, S.</w:t>
      </w:r>
      <w:r w:rsidR="00BC257A">
        <w:t xml:space="preserve"> </w:t>
      </w:r>
      <w:r w:rsidRPr="007637C9">
        <w:t xml:space="preserve">D., Englander, R., Ferentz, K., &amp; Martin, C. (2002). Shifting paradigms: </w:t>
      </w:r>
      <w:r w:rsidR="00BC257A">
        <w:t>F</w:t>
      </w:r>
      <w:r w:rsidRPr="007637C9">
        <w:t xml:space="preserve">rom Flexner to competencies. </w:t>
      </w:r>
      <w:r w:rsidRPr="007637C9">
        <w:rPr>
          <w:i/>
        </w:rPr>
        <w:t>Academic Practice</w:t>
      </w:r>
      <w:r w:rsidRPr="007637C9">
        <w:t xml:space="preserve">, </w:t>
      </w:r>
      <w:r w:rsidRPr="00BC257A">
        <w:rPr>
          <w:bCs/>
          <w:i/>
          <w:iCs/>
        </w:rPr>
        <w:t>77</w:t>
      </w:r>
      <w:r w:rsidRPr="007637C9">
        <w:t>(5), 361-367.</w:t>
      </w:r>
    </w:p>
    <w:p w14:paraId="2643C987" w14:textId="4E2F2FBA" w:rsidR="009D62C9" w:rsidRPr="007637C9" w:rsidRDefault="009D62C9" w:rsidP="007637C9">
      <w:pPr>
        <w:pStyle w:val="ListParagraph"/>
        <w:numPr>
          <w:ilvl w:val="0"/>
          <w:numId w:val="1"/>
        </w:numPr>
        <w:autoSpaceDE w:val="0"/>
        <w:autoSpaceDN w:val="0"/>
        <w:adjustRightInd w:val="0"/>
        <w:spacing w:after="120" w:line="480" w:lineRule="auto"/>
        <w:ind w:left="340"/>
      </w:pPr>
      <w:proofErr w:type="spellStart"/>
      <w:r w:rsidRPr="007637C9">
        <w:t>Caverzagie</w:t>
      </w:r>
      <w:proofErr w:type="spellEnd"/>
      <w:r w:rsidRPr="007637C9">
        <w:t>, K.</w:t>
      </w:r>
      <w:r w:rsidR="00BC257A">
        <w:t xml:space="preserve"> </w:t>
      </w:r>
      <w:r w:rsidRPr="007637C9">
        <w:t xml:space="preserve">J., </w:t>
      </w:r>
      <w:proofErr w:type="spellStart"/>
      <w:r w:rsidRPr="007637C9">
        <w:t>Iobst</w:t>
      </w:r>
      <w:proofErr w:type="spellEnd"/>
      <w:r w:rsidRPr="007637C9">
        <w:t>, W.</w:t>
      </w:r>
      <w:r w:rsidR="00BC257A">
        <w:t xml:space="preserve"> </w:t>
      </w:r>
      <w:r w:rsidRPr="007637C9">
        <w:t xml:space="preserve">F., </w:t>
      </w:r>
      <w:proofErr w:type="spellStart"/>
      <w:r w:rsidRPr="007637C9">
        <w:t>Aagaard</w:t>
      </w:r>
      <w:proofErr w:type="spellEnd"/>
      <w:r w:rsidRPr="007637C9">
        <w:t>, E.</w:t>
      </w:r>
      <w:r w:rsidR="00BC257A">
        <w:t xml:space="preserve"> </w:t>
      </w:r>
      <w:r w:rsidRPr="007637C9">
        <w:t>M., Hood, S., Chick, D.</w:t>
      </w:r>
      <w:r w:rsidR="00BC257A">
        <w:t xml:space="preserve"> </w:t>
      </w:r>
      <w:r w:rsidRPr="007637C9">
        <w:t xml:space="preserve">A., Kane, G.C., </w:t>
      </w:r>
      <w:r w:rsidR="00BC257A">
        <w:t xml:space="preserve">Brigham, T. P., Swing, S. R., Meade, L. B., </w:t>
      </w:r>
      <w:proofErr w:type="spellStart"/>
      <w:r w:rsidR="00BC257A">
        <w:t>Bazari</w:t>
      </w:r>
      <w:proofErr w:type="spellEnd"/>
      <w:r w:rsidR="00BC257A">
        <w:t xml:space="preserve">, H., Bush, R. W., Kirk, L. M., Green, M. L., </w:t>
      </w:r>
      <w:proofErr w:type="spellStart"/>
      <w:r w:rsidR="00BC257A">
        <w:t>Hinchley</w:t>
      </w:r>
      <w:proofErr w:type="spellEnd"/>
      <w:r w:rsidR="00BC257A">
        <w:t>, K. T., &amp; Smith, C. D</w:t>
      </w:r>
      <w:r w:rsidRPr="007637C9">
        <w:t xml:space="preserve">. (2013). The internal medicine reporting milestones and the next accreditation system. </w:t>
      </w:r>
      <w:r w:rsidRPr="007637C9">
        <w:rPr>
          <w:i/>
        </w:rPr>
        <w:t>Annals of Internal Medicine</w:t>
      </w:r>
      <w:r w:rsidRPr="007637C9">
        <w:t xml:space="preserve">, </w:t>
      </w:r>
      <w:r w:rsidRPr="00BC257A">
        <w:rPr>
          <w:bCs/>
          <w:i/>
          <w:iCs/>
        </w:rPr>
        <w:t>158</w:t>
      </w:r>
      <w:r w:rsidRPr="007637C9">
        <w:t xml:space="preserve">, 557–559. </w:t>
      </w:r>
    </w:p>
    <w:p w14:paraId="11971577" w14:textId="62C2AB24" w:rsidR="009D62C9" w:rsidRPr="007637C9" w:rsidRDefault="009D62C9" w:rsidP="007637C9">
      <w:pPr>
        <w:pStyle w:val="ListParagraph"/>
        <w:numPr>
          <w:ilvl w:val="0"/>
          <w:numId w:val="1"/>
        </w:numPr>
        <w:tabs>
          <w:tab w:val="left" w:pos="6840"/>
        </w:tabs>
        <w:spacing w:after="120" w:line="480" w:lineRule="auto"/>
        <w:ind w:left="340"/>
      </w:pPr>
      <w:r w:rsidRPr="007637C9">
        <w:t>Chen, H.</w:t>
      </w:r>
      <w:r w:rsidR="00BC257A">
        <w:t xml:space="preserve"> </w:t>
      </w:r>
      <w:r w:rsidRPr="007637C9">
        <w:t>C., van den Broek, W.</w:t>
      </w:r>
      <w:r w:rsidR="00BC257A">
        <w:t xml:space="preserve"> </w:t>
      </w:r>
      <w:r w:rsidRPr="007637C9">
        <w:t>E.</w:t>
      </w:r>
      <w:r w:rsidR="00BC257A">
        <w:t xml:space="preserve"> </w:t>
      </w:r>
      <w:r w:rsidRPr="007637C9">
        <w:t xml:space="preserve">S., &amp; ten Cate, O. (2015). The case for the use of entrustable professional activities in undergraduate medical education. </w:t>
      </w:r>
      <w:r w:rsidRPr="007637C9">
        <w:rPr>
          <w:i/>
        </w:rPr>
        <w:t>Academic Medicine</w:t>
      </w:r>
      <w:r w:rsidRPr="007637C9">
        <w:t xml:space="preserve">, </w:t>
      </w:r>
      <w:r w:rsidRPr="00BC257A">
        <w:rPr>
          <w:bCs/>
          <w:i/>
          <w:iCs/>
        </w:rPr>
        <w:t>90</w:t>
      </w:r>
      <w:r w:rsidRPr="007637C9">
        <w:t>(4), 431-436.</w:t>
      </w:r>
    </w:p>
    <w:p w14:paraId="6C1F2C67" w14:textId="77777777" w:rsidR="009D62C9" w:rsidRPr="007637C9" w:rsidRDefault="009D62C9" w:rsidP="007637C9">
      <w:pPr>
        <w:pStyle w:val="ListParagraph"/>
        <w:numPr>
          <w:ilvl w:val="0"/>
          <w:numId w:val="1"/>
        </w:numPr>
        <w:spacing w:after="120" w:line="480" w:lineRule="auto"/>
        <w:ind w:left="340"/>
      </w:pPr>
      <w:r w:rsidRPr="007637C9">
        <w:t xml:space="preserve">Collins, D., Burke, V., Martindale, A., &amp; Cruickshank, A. (2015). The illusion of competency versus the desirability of expertise: Seeking a common standard for support professions in sport. </w:t>
      </w:r>
      <w:r w:rsidRPr="007637C9">
        <w:rPr>
          <w:i/>
          <w:iCs/>
        </w:rPr>
        <w:t>Sports Medicine</w:t>
      </w:r>
      <w:r w:rsidRPr="007637C9">
        <w:t xml:space="preserve">, </w:t>
      </w:r>
      <w:r w:rsidRPr="00BC257A">
        <w:rPr>
          <w:i/>
          <w:iCs/>
        </w:rPr>
        <w:t>45</w:t>
      </w:r>
      <w:r w:rsidRPr="007637C9">
        <w:t>, 1-7.</w:t>
      </w:r>
    </w:p>
    <w:p w14:paraId="02F751C6" w14:textId="77777777" w:rsidR="009D62C9" w:rsidRPr="007637C9" w:rsidRDefault="009D62C9" w:rsidP="007637C9">
      <w:pPr>
        <w:pStyle w:val="ListParagraph"/>
        <w:numPr>
          <w:ilvl w:val="0"/>
          <w:numId w:val="1"/>
        </w:numPr>
        <w:spacing w:after="120" w:line="480" w:lineRule="auto"/>
        <w:ind w:left="340"/>
      </w:pPr>
      <w:r w:rsidRPr="007637C9">
        <w:t xml:space="preserve">Crossley, J., &amp; Jolly, B. (2012). Making sense of work-based assessment: Ask the right questions, in the right way, about the right things, of the right people. </w:t>
      </w:r>
      <w:r w:rsidRPr="007637C9">
        <w:rPr>
          <w:i/>
          <w:iCs/>
        </w:rPr>
        <w:t>Medical Educator</w:t>
      </w:r>
      <w:r w:rsidRPr="007637C9">
        <w:t xml:space="preserve">, </w:t>
      </w:r>
      <w:r w:rsidRPr="00BC257A">
        <w:rPr>
          <w:i/>
          <w:iCs/>
        </w:rPr>
        <w:t>46</w:t>
      </w:r>
      <w:r w:rsidRPr="00BC257A">
        <w:t>,</w:t>
      </w:r>
      <w:r w:rsidRPr="007637C9">
        <w:rPr>
          <w:b/>
          <w:bCs/>
        </w:rPr>
        <w:t xml:space="preserve"> </w:t>
      </w:r>
      <w:r w:rsidRPr="007637C9">
        <w:t>28-37.</w:t>
      </w:r>
    </w:p>
    <w:p w14:paraId="6508D133" w14:textId="77777777" w:rsidR="009D62C9" w:rsidRPr="007637C9" w:rsidRDefault="009D62C9" w:rsidP="007637C9">
      <w:pPr>
        <w:pStyle w:val="ListParagraph"/>
        <w:numPr>
          <w:ilvl w:val="0"/>
          <w:numId w:val="1"/>
        </w:numPr>
        <w:tabs>
          <w:tab w:val="left" w:pos="6840"/>
        </w:tabs>
        <w:spacing w:after="120" w:line="480" w:lineRule="auto"/>
        <w:ind w:left="340"/>
      </w:pPr>
      <w:proofErr w:type="spellStart"/>
      <w:r w:rsidRPr="007637C9">
        <w:t>Dath</w:t>
      </w:r>
      <w:proofErr w:type="spellEnd"/>
      <w:r w:rsidRPr="007637C9">
        <w:t xml:space="preserve">, D., &amp; </w:t>
      </w:r>
      <w:proofErr w:type="spellStart"/>
      <w:r w:rsidRPr="007637C9">
        <w:t>Iobst</w:t>
      </w:r>
      <w:proofErr w:type="spellEnd"/>
      <w:r w:rsidRPr="007637C9">
        <w:t xml:space="preserve">, W. (2010). The importance of faculty development in the transition to competency-based medical education. </w:t>
      </w:r>
      <w:r w:rsidRPr="007637C9">
        <w:rPr>
          <w:i/>
        </w:rPr>
        <w:t>Medical Teacher</w:t>
      </w:r>
      <w:r w:rsidRPr="007637C9">
        <w:t xml:space="preserve">, </w:t>
      </w:r>
      <w:r w:rsidRPr="00BC257A">
        <w:rPr>
          <w:bCs/>
          <w:i/>
          <w:iCs/>
        </w:rPr>
        <w:t>32</w:t>
      </w:r>
      <w:r w:rsidRPr="007637C9">
        <w:t>(8), 683-686.</w:t>
      </w:r>
    </w:p>
    <w:p w14:paraId="7B801A09" w14:textId="3B33AC18" w:rsidR="00430924" w:rsidRDefault="00430924" w:rsidP="007637C9">
      <w:pPr>
        <w:pStyle w:val="ListParagraph"/>
        <w:numPr>
          <w:ilvl w:val="0"/>
          <w:numId w:val="1"/>
        </w:numPr>
        <w:tabs>
          <w:tab w:val="left" w:pos="6840"/>
        </w:tabs>
        <w:spacing w:after="120" w:line="480" w:lineRule="auto"/>
        <w:ind w:left="340"/>
      </w:pPr>
      <w:r w:rsidRPr="007637C9">
        <w:t>Datta, K., Guru, C.</w:t>
      </w:r>
      <w:r w:rsidR="00BC257A">
        <w:t xml:space="preserve"> </w:t>
      </w:r>
      <w:r w:rsidRPr="007637C9">
        <w:t xml:space="preserve">C., Krishnan, A., Datta, R., &amp; Sharma, D. (2021). Entrustable professional activities (EPAs) and milestones for MD sports medicine: A proposed portfolio. </w:t>
      </w:r>
      <w:r w:rsidRPr="007637C9">
        <w:rPr>
          <w:i/>
          <w:iCs/>
        </w:rPr>
        <w:t>Medical Journal Armed Forces India</w:t>
      </w:r>
      <w:r w:rsidRPr="007637C9">
        <w:t xml:space="preserve">, </w:t>
      </w:r>
      <w:r w:rsidRPr="00BC257A">
        <w:rPr>
          <w:i/>
          <w:iCs/>
        </w:rPr>
        <w:t>77</w:t>
      </w:r>
      <w:r w:rsidRPr="007637C9">
        <w:t>(1), S129-S133.</w:t>
      </w:r>
    </w:p>
    <w:p w14:paraId="485DE4BE" w14:textId="5D22B91B" w:rsidR="00A2383E" w:rsidRPr="007637C9" w:rsidRDefault="00A2383E" w:rsidP="007637C9">
      <w:pPr>
        <w:pStyle w:val="ListParagraph"/>
        <w:numPr>
          <w:ilvl w:val="0"/>
          <w:numId w:val="1"/>
        </w:numPr>
        <w:tabs>
          <w:tab w:val="left" w:pos="6840"/>
        </w:tabs>
        <w:spacing w:after="120" w:line="480" w:lineRule="auto"/>
        <w:ind w:left="340"/>
      </w:pPr>
      <w:r>
        <w:lastRenderedPageBreak/>
        <w:t>Dawson, M., Cook, F., &amp; Lambton, A. (2014). Active Engagement Strategies: Students as Co-creators of Knowledge. In: EDULEARN14: 6th International Conference on Education and New Learning Technologies, 7-9 Jul 2014, Barcelona, Spain</w:t>
      </w:r>
    </w:p>
    <w:p w14:paraId="1E4E7B2E" w14:textId="7EAB8B93" w:rsidR="009D62C9" w:rsidRPr="007637C9" w:rsidRDefault="009D62C9" w:rsidP="007637C9">
      <w:pPr>
        <w:pStyle w:val="ListParagraph"/>
        <w:numPr>
          <w:ilvl w:val="0"/>
          <w:numId w:val="1"/>
        </w:numPr>
        <w:tabs>
          <w:tab w:val="left" w:pos="6840"/>
        </w:tabs>
        <w:spacing w:after="120" w:line="480" w:lineRule="auto"/>
        <w:ind w:left="340"/>
      </w:pPr>
      <w:r w:rsidRPr="007637C9">
        <w:t>Demers, G., Woodburn, A.</w:t>
      </w:r>
      <w:r w:rsidR="00BC257A">
        <w:t xml:space="preserve"> </w:t>
      </w:r>
      <w:r w:rsidRPr="007637C9">
        <w:t xml:space="preserve">J., &amp; Savard, C. (2006). The development of an undergraduate competency-based coach education program. </w:t>
      </w:r>
      <w:r w:rsidRPr="007637C9">
        <w:rPr>
          <w:i/>
          <w:iCs/>
        </w:rPr>
        <w:t>The Sport Psychologist</w:t>
      </w:r>
      <w:r w:rsidRPr="007637C9">
        <w:t xml:space="preserve">, </w:t>
      </w:r>
      <w:r w:rsidRPr="00BC257A">
        <w:rPr>
          <w:i/>
          <w:iCs/>
        </w:rPr>
        <w:t>20</w:t>
      </w:r>
      <w:r w:rsidRPr="007637C9">
        <w:t>, 162-173.</w:t>
      </w:r>
    </w:p>
    <w:p w14:paraId="43D86289" w14:textId="77777777" w:rsidR="009D62C9" w:rsidRPr="007637C9" w:rsidRDefault="009D62C9" w:rsidP="007637C9">
      <w:pPr>
        <w:pStyle w:val="ListParagraph"/>
        <w:numPr>
          <w:ilvl w:val="0"/>
          <w:numId w:val="1"/>
        </w:numPr>
        <w:tabs>
          <w:tab w:val="left" w:pos="6840"/>
        </w:tabs>
        <w:spacing w:after="120" w:line="480" w:lineRule="auto"/>
        <w:ind w:left="340"/>
      </w:pPr>
      <w:r w:rsidRPr="007637C9">
        <w:t xml:space="preserve">Derbyshire, P., &amp; McDonald, H. (2004). Choosing response scale labels and length: Guidance for researchers and clients. </w:t>
      </w:r>
      <w:r w:rsidRPr="007637C9">
        <w:rPr>
          <w:i/>
          <w:iCs/>
          <w:color w:val="131413"/>
        </w:rPr>
        <w:t>Australian Journal of Market Research</w:t>
      </w:r>
      <w:r w:rsidRPr="007637C9">
        <w:rPr>
          <w:color w:val="131413"/>
        </w:rPr>
        <w:t xml:space="preserve">, </w:t>
      </w:r>
      <w:r w:rsidRPr="00BC257A">
        <w:rPr>
          <w:i/>
          <w:iCs/>
          <w:color w:val="131413"/>
        </w:rPr>
        <w:t>12</w:t>
      </w:r>
      <w:r w:rsidRPr="00BC257A">
        <w:rPr>
          <w:color w:val="131413"/>
        </w:rPr>
        <w:t>,</w:t>
      </w:r>
      <w:r w:rsidRPr="007637C9">
        <w:rPr>
          <w:b/>
          <w:bCs/>
          <w:color w:val="131413"/>
        </w:rPr>
        <w:t xml:space="preserve"> </w:t>
      </w:r>
      <w:r w:rsidRPr="007637C9">
        <w:rPr>
          <w:color w:val="131413"/>
        </w:rPr>
        <w:t>17-26.</w:t>
      </w:r>
      <w:r w:rsidRPr="007637C9">
        <w:t xml:space="preserve"> </w:t>
      </w:r>
    </w:p>
    <w:p w14:paraId="5F48FEE7" w14:textId="77035366" w:rsidR="009D62C9" w:rsidRPr="007637C9" w:rsidRDefault="009D62C9" w:rsidP="007637C9">
      <w:pPr>
        <w:pStyle w:val="ListParagraph"/>
        <w:numPr>
          <w:ilvl w:val="0"/>
          <w:numId w:val="1"/>
        </w:numPr>
        <w:tabs>
          <w:tab w:val="left" w:pos="6840"/>
        </w:tabs>
        <w:spacing w:after="120" w:line="480" w:lineRule="auto"/>
        <w:ind w:left="340"/>
      </w:pPr>
      <w:r w:rsidRPr="007637C9">
        <w:t>Dewey, C.</w:t>
      </w:r>
      <w:r w:rsidR="00BC257A">
        <w:t xml:space="preserve"> </w:t>
      </w:r>
      <w:r w:rsidRPr="007637C9">
        <w:t>M., Jonker, G., ten Cate, O., &amp; Turner, T.</w:t>
      </w:r>
      <w:r w:rsidR="00BC257A">
        <w:t xml:space="preserve"> </w:t>
      </w:r>
      <w:r w:rsidRPr="007637C9">
        <w:t xml:space="preserve">L. (2017). Entrustable professional activities (EPAs) for teachers in medical education: Has the time come? </w:t>
      </w:r>
      <w:r w:rsidRPr="007637C9">
        <w:rPr>
          <w:i/>
          <w:iCs/>
        </w:rPr>
        <w:t>Medical Teacher</w:t>
      </w:r>
      <w:r w:rsidRPr="007637C9">
        <w:t xml:space="preserve">, </w:t>
      </w:r>
      <w:r w:rsidRPr="00BC257A">
        <w:rPr>
          <w:i/>
          <w:iCs/>
        </w:rPr>
        <w:t>39</w:t>
      </w:r>
      <w:r w:rsidRPr="007637C9">
        <w:t>(8), 894-896.</w:t>
      </w:r>
    </w:p>
    <w:p w14:paraId="0E67DBA8" w14:textId="520BDC22" w:rsidR="009D62C9" w:rsidRPr="007637C9" w:rsidRDefault="009D62C9" w:rsidP="007637C9">
      <w:pPr>
        <w:pStyle w:val="ListParagraph"/>
        <w:numPr>
          <w:ilvl w:val="0"/>
          <w:numId w:val="1"/>
        </w:numPr>
        <w:tabs>
          <w:tab w:val="left" w:pos="6840"/>
        </w:tabs>
        <w:spacing w:after="120" w:line="480" w:lineRule="auto"/>
        <w:ind w:left="340"/>
      </w:pPr>
      <w:r w:rsidRPr="007637C9">
        <w:t>Dreyfus, H.</w:t>
      </w:r>
      <w:r w:rsidR="00BC257A">
        <w:t xml:space="preserve"> </w:t>
      </w:r>
      <w:r w:rsidRPr="007637C9">
        <w:t>L., &amp; Dreyfus, S.</w:t>
      </w:r>
      <w:r w:rsidR="00BC257A">
        <w:t xml:space="preserve"> </w:t>
      </w:r>
      <w:r w:rsidRPr="007637C9">
        <w:t xml:space="preserve">E. (1980). </w:t>
      </w:r>
      <w:r w:rsidRPr="007637C9">
        <w:rPr>
          <w:i/>
        </w:rPr>
        <w:t>A five-stage model of the mental activities involved in directed skill acquisition</w:t>
      </w:r>
      <w:r w:rsidRPr="007637C9">
        <w:t>. Storming Media.</w:t>
      </w:r>
    </w:p>
    <w:p w14:paraId="4162798C" w14:textId="015C1DB8" w:rsidR="009D62C9" w:rsidRPr="008D17CC" w:rsidRDefault="009D62C9" w:rsidP="008D17CC">
      <w:pPr>
        <w:pStyle w:val="ListParagraph"/>
        <w:numPr>
          <w:ilvl w:val="0"/>
          <w:numId w:val="1"/>
        </w:numPr>
        <w:tabs>
          <w:tab w:val="left" w:pos="6840"/>
        </w:tabs>
        <w:spacing w:after="120" w:line="480" w:lineRule="auto"/>
        <w:ind w:left="334" w:hanging="357"/>
      </w:pPr>
      <w:r w:rsidRPr="008D17CC">
        <w:t>Dreyfus, S.</w:t>
      </w:r>
      <w:r w:rsidR="00BC257A" w:rsidRPr="008D17CC">
        <w:t xml:space="preserve"> </w:t>
      </w:r>
      <w:r w:rsidRPr="008D17CC">
        <w:t xml:space="preserve">E. (2004). The five-stage model of adult skill acquisition. </w:t>
      </w:r>
      <w:r w:rsidRPr="008D17CC">
        <w:rPr>
          <w:i/>
        </w:rPr>
        <w:t>Bulletin of Science, Technology &amp; Society</w:t>
      </w:r>
      <w:r w:rsidRPr="008D17CC">
        <w:t xml:space="preserve">, </w:t>
      </w:r>
      <w:r w:rsidRPr="008D17CC">
        <w:rPr>
          <w:bCs/>
          <w:i/>
          <w:iCs/>
        </w:rPr>
        <w:t>24</w:t>
      </w:r>
      <w:r w:rsidRPr="008D17CC">
        <w:t>(3), 177-181.</w:t>
      </w:r>
    </w:p>
    <w:p w14:paraId="45ECD2D7" w14:textId="0F9731CC" w:rsidR="008D17CC" w:rsidRPr="008D17CC" w:rsidRDefault="008D17CC" w:rsidP="008D17CC">
      <w:pPr>
        <w:pStyle w:val="ListParagraph"/>
        <w:numPr>
          <w:ilvl w:val="0"/>
          <w:numId w:val="1"/>
        </w:numPr>
        <w:tabs>
          <w:tab w:val="left" w:pos="6840"/>
        </w:tabs>
        <w:spacing w:after="120" w:line="480" w:lineRule="auto"/>
        <w:ind w:left="334" w:hanging="357"/>
      </w:pPr>
      <w:proofErr w:type="spellStart"/>
      <w:r w:rsidRPr="008D17CC">
        <w:t>Duijn</w:t>
      </w:r>
      <w:proofErr w:type="spellEnd"/>
      <w:r w:rsidRPr="008D17CC">
        <w:t xml:space="preserve">, C.C.M.A., </w:t>
      </w:r>
      <w:proofErr w:type="spellStart"/>
      <w:r w:rsidRPr="008D17CC">
        <w:t>Welink</w:t>
      </w:r>
      <w:proofErr w:type="spellEnd"/>
      <w:r w:rsidRPr="008D17CC">
        <w:t xml:space="preserve">, L.S., </w:t>
      </w:r>
      <w:proofErr w:type="spellStart"/>
      <w:r w:rsidRPr="008D17CC">
        <w:t>Mandoki</w:t>
      </w:r>
      <w:proofErr w:type="spellEnd"/>
      <w:r w:rsidRPr="008D17CC">
        <w:t xml:space="preserve">, M., ten Cate, O., Kremer, W.D.J., &amp; Bok, H.G.J. (2017). Am I ready for it? Students’ perceptions of meaningful feedback on entrustable professional activities. </w:t>
      </w:r>
      <w:r w:rsidRPr="008D17CC">
        <w:rPr>
          <w:i/>
        </w:rPr>
        <w:t>Perspectives on Medical Education</w:t>
      </w:r>
      <w:r w:rsidRPr="008D17CC">
        <w:t xml:space="preserve">, </w:t>
      </w:r>
      <w:r w:rsidRPr="008D17CC">
        <w:rPr>
          <w:bCs/>
        </w:rPr>
        <w:t>6</w:t>
      </w:r>
      <w:r w:rsidRPr="008D17CC">
        <w:t xml:space="preserve">(4), 256-264. </w:t>
      </w:r>
    </w:p>
    <w:p w14:paraId="79DDCE91" w14:textId="1E847F4B" w:rsidR="009D62C9" w:rsidRPr="007637C9" w:rsidRDefault="009D62C9" w:rsidP="007637C9">
      <w:pPr>
        <w:pStyle w:val="ListParagraph"/>
        <w:numPr>
          <w:ilvl w:val="0"/>
          <w:numId w:val="1"/>
        </w:numPr>
        <w:tabs>
          <w:tab w:val="left" w:pos="6840"/>
        </w:tabs>
        <w:spacing w:after="120" w:line="480" w:lineRule="auto"/>
        <w:ind w:left="340"/>
      </w:pPr>
      <w:r w:rsidRPr="007637C9">
        <w:t>Epstein, R.</w:t>
      </w:r>
      <w:r w:rsidR="00AA23D7">
        <w:t xml:space="preserve"> </w:t>
      </w:r>
      <w:r w:rsidRPr="007637C9">
        <w:t>M., &amp; Hundert, E.</w:t>
      </w:r>
      <w:r w:rsidR="00AA23D7">
        <w:t xml:space="preserve"> </w:t>
      </w:r>
      <w:r w:rsidRPr="007637C9">
        <w:t xml:space="preserve">M. (2002). Defining and assessing professional competence. </w:t>
      </w:r>
      <w:r w:rsidRPr="007637C9">
        <w:rPr>
          <w:i/>
          <w:iCs/>
        </w:rPr>
        <w:t>JAMA: The Journal of the American Medical Association</w:t>
      </w:r>
      <w:r w:rsidRPr="007637C9">
        <w:t xml:space="preserve">, </w:t>
      </w:r>
      <w:r w:rsidRPr="00AA23D7">
        <w:rPr>
          <w:i/>
          <w:iCs/>
        </w:rPr>
        <w:t>287</w:t>
      </w:r>
      <w:r w:rsidRPr="007637C9">
        <w:t>(2), 226-235.</w:t>
      </w:r>
    </w:p>
    <w:p w14:paraId="4D4A814B" w14:textId="28088378" w:rsidR="009D62C9" w:rsidRPr="007637C9" w:rsidRDefault="009D62C9" w:rsidP="007637C9">
      <w:pPr>
        <w:pStyle w:val="ListParagraph"/>
        <w:numPr>
          <w:ilvl w:val="0"/>
          <w:numId w:val="1"/>
        </w:numPr>
        <w:tabs>
          <w:tab w:val="left" w:pos="6840"/>
        </w:tabs>
        <w:spacing w:after="120" w:line="480" w:lineRule="auto"/>
        <w:ind w:left="340"/>
      </w:pPr>
      <w:r w:rsidRPr="007637C9">
        <w:t>Ericsson, K.</w:t>
      </w:r>
      <w:r w:rsidR="00AA23D7">
        <w:t xml:space="preserve"> </w:t>
      </w:r>
      <w:r w:rsidRPr="007637C9">
        <w:t xml:space="preserve">A., </w:t>
      </w:r>
      <w:proofErr w:type="spellStart"/>
      <w:r w:rsidRPr="007637C9">
        <w:t>Krampe</w:t>
      </w:r>
      <w:proofErr w:type="spellEnd"/>
      <w:r w:rsidRPr="007637C9">
        <w:t>, R.</w:t>
      </w:r>
      <w:r w:rsidR="00AA23D7">
        <w:t xml:space="preserve"> </w:t>
      </w:r>
      <w:r w:rsidRPr="007637C9">
        <w:t xml:space="preserve">Th., </w:t>
      </w:r>
      <w:r w:rsidR="00AA23D7">
        <w:t xml:space="preserve">&amp; </w:t>
      </w:r>
      <w:proofErr w:type="spellStart"/>
      <w:r w:rsidRPr="007637C9">
        <w:t>Tesch</w:t>
      </w:r>
      <w:proofErr w:type="spellEnd"/>
      <w:r w:rsidRPr="007637C9">
        <w:t xml:space="preserve">-Romer, C. (1993). The role of deliberate practice in the acquisition of expert performance. </w:t>
      </w:r>
      <w:r w:rsidRPr="007637C9">
        <w:rPr>
          <w:i/>
          <w:iCs/>
        </w:rPr>
        <w:t>Psychological Review</w:t>
      </w:r>
      <w:r w:rsidRPr="007637C9">
        <w:t xml:space="preserve">, </w:t>
      </w:r>
      <w:r w:rsidRPr="00AA23D7">
        <w:rPr>
          <w:i/>
          <w:iCs/>
        </w:rPr>
        <w:t>100</w:t>
      </w:r>
      <w:r w:rsidRPr="007637C9">
        <w:t>(3), 363-406.</w:t>
      </w:r>
    </w:p>
    <w:p w14:paraId="0079D666" w14:textId="77777777" w:rsidR="00882388" w:rsidRDefault="009D62C9" w:rsidP="00882388">
      <w:pPr>
        <w:pStyle w:val="ListParagraph"/>
        <w:numPr>
          <w:ilvl w:val="0"/>
          <w:numId w:val="1"/>
        </w:numPr>
        <w:tabs>
          <w:tab w:val="left" w:pos="6840"/>
        </w:tabs>
        <w:spacing w:after="120" w:line="480" w:lineRule="auto"/>
        <w:ind w:left="340"/>
      </w:pPr>
      <w:r w:rsidRPr="007637C9">
        <w:t xml:space="preserve">Fletcher, D., &amp; Maher, J. (2013). Toward a competency-based understanding of the training and development of applied sport psychologists. </w:t>
      </w:r>
      <w:r w:rsidRPr="007637C9">
        <w:rPr>
          <w:i/>
          <w:iCs/>
        </w:rPr>
        <w:t>Sport, Exercise, and Performance Psychology</w:t>
      </w:r>
      <w:r w:rsidRPr="007637C9">
        <w:t xml:space="preserve">, </w:t>
      </w:r>
      <w:r w:rsidRPr="00AA23D7">
        <w:rPr>
          <w:i/>
          <w:iCs/>
        </w:rPr>
        <w:t>2</w:t>
      </w:r>
      <w:r w:rsidRPr="007637C9">
        <w:t>(4), 265-280.</w:t>
      </w:r>
      <w:bookmarkStart w:id="4" w:name="_Hlk95400879"/>
    </w:p>
    <w:p w14:paraId="6F1DD6A9" w14:textId="06E0FDEB" w:rsidR="00A2383E" w:rsidRPr="007637C9" w:rsidRDefault="00A2383E" w:rsidP="00882388">
      <w:pPr>
        <w:pStyle w:val="ListParagraph"/>
        <w:numPr>
          <w:ilvl w:val="0"/>
          <w:numId w:val="1"/>
        </w:numPr>
        <w:tabs>
          <w:tab w:val="left" w:pos="6840"/>
        </w:tabs>
        <w:spacing w:after="120" w:line="480" w:lineRule="auto"/>
        <w:ind w:left="340"/>
      </w:pPr>
      <w:r>
        <w:lastRenderedPageBreak/>
        <w:t xml:space="preserve">Gros, B., &amp; Lopez, M. (2016). Students as co-creators of technology-rich learning activities in higher education. </w:t>
      </w:r>
      <w:r w:rsidRPr="00882388">
        <w:rPr>
          <w:i/>
          <w:iCs/>
        </w:rPr>
        <w:t>International Journal of Educational Technology in Higher Education</w:t>
      </w:r>
      <w:r>
        <w:t xml:space="preserve">, </w:t>
      </w:r>
      <w:r w:rsidRPr="00882388">
        <w:rPr>
          <w:i/>
          <w:iCs/>
        </w:rPr>
        <w:t>13</w:t>
      </w:r>
      <w:r>
        <w:t>, 1-13.</w:t>
      </w:r>
    </w:p>
    <w:bookmarkEnd w:id="4"/>
    <w:p w14:paraId="76024125" w14:textId="3A41CCB5" w:rsidR="009D62C9" w:rsidRPr="007637C9" w:rsidRDefault="009D62C9" w:rsidP="007637C9">
      <w:pPr>
        <w:pStyle w:val="ListParagraph"/>
        <w:numPr>
          <w:ilvl w:val="0"/>
          <w:numId w:val="1"/>
        </w:numPr>
        <w:tabs>
          <w:tab w:val="left" w:pos="6840"/>
        </w:tabs>
        <w:spacing w:after="120" w:line="480" w:lineRule="auto"/>
        <w:ind w:left="340"/>
      </w:pPr>
      <w:r w:rsidRPr="007637C9">
        <w:rPr>
          <w:rStyle w:val="hlfld-contribauthor"/>
        </w:rPr>
        <w:t xml:space="preserve">Gruppen, </w:t>
      </w:r>
      <w:r w:rsidRPr="007637C9">
        <w:rPr>
          <w:rStyle w:val="nlmgiven-names"/>
        </w:rPr>
        <w:t>L.</w:t>
      </w:r>
      <w:r w:rsidR="00AA23D7">
        <w:rPr>
          <w:rStyle w:val="nlmgiven-names"/>
        </w:rPr>
        <w:t xml:space="preserve"> </w:t>
      </w:r>
      <w:r w:rsidRPr="007637C9">
        <w:rPr>
          <w:rStyle w:val="nlmgiven-names"/>
        </w:rPr>
        <w:t>D.</w:t>
      </w:r>
      <w:r w:rsidRPr="007637C9">
        <w:t xml:space="preserve">, </w:t>
      </w:r>
      <w:r w:rsidRPr="007637C9">
        <w:rPr>
          <w:rStyle w:val="hlfld-contribauthor"/>
        </w:rPr>
        <w:t xml:space="preserve">Burkhardt, </w:t>
      </w:r>
      <w:r w:rsidRPr="007637C9">
        <w:rPr>
          <w:rStyle w:val="nlmgiven-names"/>
        </w:rPr>
        <w:t>J.</w:t>
      </w:r>
      <w:r w:rsidR="00AA23D7">
        <w:rPr>
          <w:rStyle w:val="nlmgiven-names"/>
        </w:rPr>
        <w:t xml:space="preserve"> </w:t>
      </w:r>
      <w:r w:rsidRPr="007637C9">
        <w:rPr>
          <w:rStyle w:val="nlmgiven-names"/>
        </w:rPr>
        <w:t>C.</w:t>
      </w:r>
      <w:r w:rsidRPr="007637C9">
        <w:t xml:space="preserve">, </w:t>
      </w:r>
      <w:r w:rsidRPr="007637C9">
        <w:rPr>
          <w:rStyle w:val="hlfld-contribauthor"/>
        </w:rPr>
        <w:t xml:space="preserve">Fitzgerald, </w:t>
      </w:r>
      <w:r w:rsidRPr="007637C9">
        <w:rPr>
          <w:rStyle w:val="nlmgiven-names"/>
        </w:rPr>
        <w:t>J.</w:t>
      </w:r>
      <w:r w:rsidR="00AA23D7">
        <w:rPr>
          <w:rStyle w:val="nlmgiven-names"/>
        </w:rPr>
        <w:t xml:space="preserve"> </w:t>
      </w:r>
      <w:r w:rsidRPr="007637C9">
        <w:rPr>
          <w:rStyle w:val="nlmgiven-names"/>
        </w:rPr>
        <w:t>T.</w:t>
      </w:r>
      <w:r w:rsidRPr="007637C9">
        <w:t xml:space="preserve">, </w:t>
      </w:r>
      <w:r w:rsidRPr="007637C9">
        <w:rPr>
          <w:rStyle w:val="hlfld-contribauthor"/>
        </w:rPr>
        <w:t xml:space="preserve">Funnell, </w:t>
      </w:r>
      <w:r w:rsidRPr="007637C9">
        <w:rPr>
          <w:rStyle w:val="nlmgiven-names"/>
        </w:rPr>
        <w:t>M.</w:t>
      </w:r>
      <w:r w:rsidRPr="007637C9">
        <w:t xml:space="preserve">, </w:t>
      </w:r>
      <w:proofErr w:type="spellStart"/>
      <w:r w:rsidRPr="007637C9">
        <w:rPr>
          <w:rStyle w:val="hlfld-contribauthor"/>
        </w:rPr>
        <w:t>Haftel</w:t>
      </w:r>
      <w:proofErr w:type="spellEnd"/>
      <w:r w:rsidRPr="007637C9">
        <w:rPr>
          <w:rStyle w:val="hlfld-contribauthor"/>
        </w:rPr>
        <w:t xml:space="preserve">, </w:t>
      </w:r>
      <w:r w:rsidRPr="007637C9">
        <w:rPr>
          <w:rStyle w:val="nlmgiven-names"/>
        </w:rPr>
        <w:t>H.</w:t>
      </w:r>
      <w:r w:rsidR="00AA23D7">
        <w:rPr>
          <w:rStyle w:val="nlmgiven-names"/>
        </w:rPr>
        <w:t xml:space="preserve"> </w:t>
      </w:r>
      <w:r w:rsidRPr="007637C9">
        <w:rPr>
          <w:rStyle w:val="nlmgiven-names"/>
        </w:rPr>
        <w:t>M.</w:t>
      </w:r>
      <w:r w:rsidRPr="007637C9">
        <w:t xml:space="preserve">, </w:t>
      </w:r>
      <w:proofErr w:type="spellStart"/>
      <w:r w:rsidRPr="007637C9">
        <w:rPr>
          <w:rStyle w:val="hlfld-contribauthor"/>
        </w:rPr>
        <w:t>Lypson</w:t>
      </w:r>
      <w:proofErr w:type="spellEnd"/>
      <w:r w:rsidRPr="007637C9">
        <w:rPr>
          <w:rStyle w:val="hlfld-contribauthor"/>
        </w:rPr>
        <w:t xml:space="preserve">, </w:t>
      </w:r>
      <w:r w:rsidRPr="007637C9">
        <w:rPr>
          <w:rStyle w:val="nlmgiven-names"/>
        </w:rPr>
        <w:t>M.</w:t>
      </w:r>
      <w:r w:rsidR="00AA23D7">
        <w:rPr>
          <w:rStyle w:val="nlmgiven-names"/>
        </w:rPr>
        <w:t xml:space="preserve"> </w:t>
      </w:r>
      <w:r w:rsidRPr="007637C9">
        <w:rPr>
          <w:rStyle w:val="nlmgiven-names"/>
        </w:rPr>
        <w:t>L.</w:t>
      </w:r>
      <w:r w:rsidRPr="007637C9">
        <w:t xml:space="preserve">, &amp; </w:t>
      </w:r>
      <w:r w:rsidRPr="007637C9">
        <w:rPr>
          <w:rStyle w:val="hlfld-contribauthor"/>
        </w:rPr>
        <w:t xml:space="preserve">Vasquez, </w:t>
      </w:r>
      <w:r w:rsidRPr="007637C9">
        <w:rPr>
          <w:rStyle w:val="nlmgiven-names"/>
        </w:rPr>
        <w:t>J.</w:t>
      </w:r>
      <w:r w:rsidR="00AA23D7">
        <w:rPr>
          <w:rStyle w:val="nlmgiven-names"/>
        </w:rPr>
        <w:t xml:space="preserve"> </w:t>
      </w:r>
      <w:r w:rsidRPr="007637C9">
        <w:rPr>
          <w:rStyle w:val="nlmgiven-names"/>
        </w:rPr>
        <w:t>A.</w:t>
      </w:r>
      <w:r w:rsidRPr="007637C9">
        <w:t xml:space="preserve"> (</w:t>
      </w:r>
      <w:r w:rsidRPr="007637C9">
        <w:rPr>
          <w:rStyle w:val="nlmyear"/>
        </w:rPr>
        <w:t>2016)</w:t>
      </w:r>
      <w:r w:rsidRPr="007637C9">
        <w:t xml:space="preserve">. </w:t>
      </w:r>
      <w:r w:rsidRPr="007637C9">
        <w:rPr>
          <w:rStyle w:val="nlmarticle-title"/>
        </w:rPr>
        <w:t>Competency-based education: programme design and challenges to implementation</w:t>
      </w:r>
      <w:r w:rsidRPr="007637C9">
        <w:t xml:space="preserve">. </w:t>
      </w:r>
      <w:r w:rsidRPr="007637C9">
        <w:rPr>
          <w:i/>
        </w:rPr>
        <w:t>Medical Education</w:t>
      </w:r>
      <w:r w:rsidRPr="007637C9">
        <w:t xml:space="preserve">, </w:t>
      </w:r>
      <w:r w:rsidRPr="00AA23D7">
        <w:rPr>
          <w:bCs/>
          <w:i/>
          <w:iCs/>
        </w:rPr>
        <w:t>50</w:t>
      </w:r>
      <w:r w:rsidRPr="007637C9">
        <w:t xml:space="preserve">, </w:t>
      </w:r>
      <w:r w:rsidRPr="007637C9">
        <w:rPr>
          <w:rStyle w:val="nlmfpage"/>
        </w:rPr>
        <w:t>532</w:t>
      </w:r>
      <w:r w:rsidRPr="007637C9">
        <w:t>-</w:t>
      </w:r>
      <w:r w:rsidRPr="007637C9">
        <w:rPr>
          <w:rStyle w:val="nlmlpage"/>
        </w:rPr>
        <w:t>539</w:t>
      </w:r>
      <w:r w:rsidRPr="007637C9">
        <w:t>.</w:t>
      </w:r>
    </w:p>
    <w:p w14:paraId="4F8A17B6" w14:textId="77777777" w:rsidR="009D62C9" w:rsidRPr="007637C9" w:rsidRDefault="009D62C9" w:rsidP="007637C9">
      <w:pPr>
        <w:pStyle w:val="ListParagraph"/>
        <w:numPr>
          <w:ilvl w:val="0"/>
          <w:numId w:val="1"/>
        </w:numPr>
        <w:tabs>
          <w:tab w:val="left" w:pos="6840"/>
        </w:tabs>
        <w:spacing w:after="120" w:line="480" w:lineRule="auto"/>
        <w:ind w:left="340"/>
      </w:pPr>
      <w:proofErr w:type="spellStart"/>
      <w:r w:rsidRPr="007637C9">
        <w:t>Guilbert</w:t>
      </w:r>
      <w:proofErr w:type="spellEnd"/>
      <w:r w:rsidRPr="007637C9">
        <w:t xml:space="preserve">, J-J. (2002). The ambiguous and bewitching power of knowledge, skills and attitudes leads to confusing statements of learning objectives. </w:t>
      </w:r>
      <w:r w:rsidRPr="007637C9">
        <w:rPr>
          <w:i/>
          <w:iCs/>
        </w:rPr>
        <w:t>Education for Health</w:t>
      </w:r>
      <w:r w:rsidRPr="007637C9">
        <w:t xml:space="preserve">, </w:t>
      </w:r>
      <w:r w:rsidRPr="00AA23D7">
        <w:rPr>
          <w:i/>
          <w:iCs/>
        </w:rPr>
        <w:t>15</w:t>
      </w:r>
      <w:r w:rsidRPr="007637C9">
        <w:t>(3), 362-369.</w:t>
      </w:r>
    </w:p>
    <w:p w14:paraId="7FBC70EA" w14:textId="1A051B6F" w:rsidR="009D62C9" w:rsidRDefault="009D62C9" w:rsidP="007637C9">
      <w:pPr>
        <w:pStyle w:val="ListParagraph"/>
        <w:numPr>
          <w:ilvl w:val="0"/>
          <w:numId w:val="1"/>
        </w:numPr>
        <w:spacing w:after="120" w:line="480" w:lineRule="auto"/>
        <w:ind w:left="340"/>
      </w:pPr>
      <w:r w:rsidRPr="007637C9">
        <w:t>Harden, R.</w:t>
      </w:r>
      <w:r w:rsidR="00AA23D7">
        <w:t xml:space="preserve"> </w:t>
      </w:r>
      <w:r w:rsidRPr="007637C9">
        <w:t xml:space="preserve">M. (2002). Learning outcomes and instructional objectives: is there a difference? </w:t>
      </w:r>
      <w:r w:rsidRPr="007637C9">
        <w:rPr>
          <w:i/>
          <w:iCs/>
        </w:rPr>
        <w:t>Medical Teacher</w:t>
      </w:r>
      <w:r w:rsidRPr="007637C9">
        <w:t xml:space="preserve">, </w:t>
      </w:r>
      <w:r w:rsidRPr="00AA23D7">
        <w:rPr>
          <w:i/>
          <w:iCs/>
        </w:rPr>
        <w:t>24</w:t>
      </w:r>
      <w:r w:rsidRPr="007637C9">
        <w:t>(2), 151-155.</w:t>
      </w:r>
    </w:p>
    <w:p w14:paraId="50FA3DFA" w14:textId="70D212ED" w:rsidR="00AA23D7" w:rsidRPr="007637C9" w:rsidRDefault="00AA23D7" w:rsidP="007637C9">
      <w:pPr>
        <w:pStyle w:val="ListParagraph"/>
        <w:numPr>
          <w:ilvl w:val="0"/>
          <w:numId w:val="1"/>
        </w:numPr>
        <w:spacing w:after="120" w:line="480" w:lineRule="auto"/>
        <w:ind w:left="340"/>
      </w:pPr>
      <w:r>
        <w:t>Harris</w:t>
      </w:r>
      <w:r w:rsidR="00520A3E">
        <w:t>, P., Snell, L., Talbot., &amp; Harden, R. M.</w:t>
      </w:r>
      <w:r>
        <w:t xml:space="preserve"> </w:t>
      </w:r>
      <w:r w:rsidR="00520A3E">
        <w:t>(</w:t>
      </w:r>
      <w:r>
        <w:t>2010</w:t>
      </w:r>
      <w:r w:rsidR="00520A3E">
        <w:t xml:space="preserve">). Competency-based medical education: implications for undergraduate programs. </w:t>
      </w:r>
      <w:r w:rsidR="00520A3E">
        <w:rPr>
          <w:i/>
          <w:iCs/>
        </w:rPr>
        <w:t>Medical Teacher</w:t>
      </w:r>
      <w:r w:rsidR="00520A3E">
        <w:t xml:space="preserve">, </w:t>
      </w:r>
      <w:r w:rsidR="00520A3E">
        <w:rPr>
          <w:i/>
          <w:iCs/>
        </w:rPr>
        <w:t>32</w:t>
      </w:r>
      <w:r w:rsidR="00520A3E">
        <w:t>(8), 646-650.</w:t>
      </w:r>
    </w:p>
    <w:p w14:paraId="7B44AC01" w14:textId="2F3D64C3" w:rsidR="009D62C9" w:rsidRPr="007637C9" w:rsidRDefault="009D62C9" w:rsidP="007637C9">
      <w:pPr>
        <w:pStyle w:val="ListParagraph"/>
        <w:numPr>
          <w:ilvl w:val="0"/>
          <w:numId w:val="1"/>
        </w:numPr>
        <w:autoSpaceDE w:val="0"/>
        <w:autoSpaceDN w:val="0"/>
        <w:adjustRightInd w:val="0"/>
        <w:spacing w:after="120" w:line="480" w:lineRule="auto"/>
        <w:ind w:left="340"/>
      </w:pPr>
      <w:r w:rsidRPr="007637C9">
        <w:t>Hauer, K.</w:t>
      </w:r>
      <w:r w:rsidR="00AA23D7">
        <w:t xml:space="preserve"> </w:t>
      </w:r>
      <w:r w:rsidRPr="007637C9">
        <w:t xml:space="preserve">E., </w:t>
      </w:r>
      <w:proofErr w:type="spellStart"/>
      <w:r w:rsidRPr="007637C9">
        <w:t>Kohlwes</w:t>
      </w:r>
      <w:proofErr w:type="spellEnd"/>
      <w:r w:rsidRPr="007637C9">
        <w:t xml:space="preserve">, J., Cornett, P., Hollander, H., ten Cate, O., </w:t>
      </w:r>
      <w:proofErr w:type="spellStart"/>
      <w:r w:rsidRPr="007637C9">
        <w:t>Ranji</w:t>
      </w:r>
      <w:proofErr w:type="spellEnd"/>
      <w:r w:rsidRPr="007637C9">
        <w:t>, S.</w:t>
      </w:r>
      <w:r w:rsidR="00AA23D7">
        <w:t xml:space="preserve"> </w:t>
      </w:r>
      <w:r w:rsidRPr="007637C9">
        <w:t xml:space="preserve">R., </w:t>
      </w:r>
      <w:proofErr w:type="spellStart"/>
      <w:r w:rsidR="00AA23D7">
        <w:t>Soni</w:t>
      </w:r>
      <w:proofErr w:type="spellEnd"/>
      <w:r w:rsidR="00AA23D7">
        <w:t xml:space="preserve">, K., </w:t>
      </w:r>
      <w:proofErr w:type="spellStart"/>
      <w:r w:rsidR="00AA23D7">
        <w:t>Iobst</w:t>
      </w:r>
      <w:proofErr w:type="spellEnd"/>
      <w:r w:rsidR="00AA23D7">
        <w:t>, W., &amp; O’Sullivan, P</w:t>
      </w:r>
      <w:r w:rsidRPr="007637C9">
        <w:t xml:space="preserve">. (2013). Identifying entrustable professional activities in internal medicine training. </w:t>
      </w:r>
      <w:r w:rsidRPr="007637C9">
        <w:rPr>
          <w:i/>
          <w:iCs/>
        </w:rPr>
        <w:t>Journal of Graduate Medical Education</w:t>
      </w:r>
      <w:r w:rsidRPr="007637C9">
        <w:t xml:space="preserve">, </w:t>
      </w:r>
      <w:r w:rsidRPr="00AA23D7">
        <w:rPr>
          <w:i/>
          <w:iCs/>
        </w:rPr>
        <w:t>5</w:t>
      </w:r>
      <w:r w:rsidRPr="007637C9">
        <w:t xml:space="preserve">(1), 54-59.   </w:t>
      </w:r>
    </w:p>
    <w:p w14:paraId="14878AE4" w14:textId="0BB17DEB" w:rsidR="009D62C9" w:rsidRPr="007637C9" w:rsidRDefault="009D62C9" w:rsidP="007637C9">
      <w:pPr>
        <w:pStyle w:val="ListParagraph"/>
        <w:numPr>
          <w:ilvl w:val="0"/>
          <w:numId w:val="1"/>
        </w:numPr>
        <w:spacing w:after="120" w:line="480" w:lineRule="auto"/>
        <w:ind w:left="340"/>
      </w:pPr>
      <w:proofErr w:type="spellStart"/>
      <w:r w:rsidRPr="007637C9">
        <w:t>Iobst</w:t>
      </w:r>
      <w:proofErr w:type="spellEnd"/>
      <w:r w:rsidRPr="007637C9">
        <w:t>, W.</w:t>
      </w:r>
      <w:r w:rsidR="00AA23D7">
        <w:t xml:space="preserve"> </w:t>
      </w:r>
      <w:r w:rsidRPr="007637C9">
        <w:t xml:space="preserve">F., </w:t>
      </w:r>
      <w:proofErr w:type="spellStart"/>
      <w:r w:rsidRPr="007637C9">
        <w:t>Sherbino</w:t>
      </w:r>
      <w:proofErr w:type="spellEnd"/>
      <w:r w:rsidRPr="007637C9">
        <w:t>, J., ten Cate, O., Richardson, D.</w:t>
      </w:r>
      <w:r w:rsidR="00AA23D7">
        <w:t xml:space="preserve"> </w:t>
      </w:r>
      <w:r w:rsidRPr="007637C9">
        <w:t xml:space="preserve">L., </w:t>
      </w:r>
      <w:proofErr w:type="spellStart"/>
      <w:r w:rsidRPr="007637C9">
        <w:t>Dath</w:t>
      </w:r>
      <w:proofErr w:type="spellEnd"/>
      <w:r w:rsidRPr="007637C9">
        <w:t>, D., Swing, S.</w:t>
      </w:r>
      <w:r w:rsidR="00AA23D7">
        <w:t xml:space="preserve"> </w:t>
      </w:r>
      <w:r w:rsidRPr="007637C9">
        <w:t xml:space="preserve">R., </w:t>
      </w:r>
      <w:r w:rsidR="00AA23D7">
        <w:t xml:space="preserve">Harris, P., </w:t>
      </w:r>
      <w:proofErr w:type="spellStart"/>
      <w:r w:rsidR="00AA23D7">
        <w:t>Mungaroo</w:t>
      </w:r>
      <w:proofErr w:type="spellEnd"/>
      <w:r w:rsidR="00AA23D7">
        <w:t xml:space="preserve">, R., </w:t>
      </w:r>
      <w:proofErr w:type="spellStart"/>
      <w:r w:rsidR="00AA23D7">
        <w:t>Holmboe</w:t>
      </w:r>
      <w:proofErr w:type="spellEnd"/>
      <w:r w:rsidR="00AA23D7">
        <w:t>, E. S., &amp; Frank, J. R</w:t>
      </w:r>
      <w:r w:rsidRPr="007637C9">
        <w:t xml:space="preserve">. (2010). Competency-based medical education in postgraduate medical education. </w:t>
      </w:r>
      <w:r w:rsidRPr="007637C9">
        <w:rPr>
          <w:i/>
          <w:iCs/>
        </w:rPr>
        <w:t>Medical Teacher</w:t>
      </w:r>
      <w:r w:rsidRPr="007637C9">
        <w:t xml:space="preserve">, </w:t>
      </w:r>
      <w:r w:rsidRPr="00AA23D7">
        <w:rPr>
          <w:i/>
          <w:iCs/>
        </w:rPr>
        <w:t>32</w:t>
      </w:r>
      <w:r w:rsidRPr="007637C9">
        <w:t>, 651-656.</w:t>
      </w:r>
    </w:p>
    <w:p w14:paraId="2EE80F4A" w14:textId="333858F1" w:rsidR="009D62C9" w:rsidRPr="007637C9" w:rsidRDefault="009D62C9" w:rsidP="007637C9">
      <w:pPr>
        <w:pStyle w:val="ListParagraph"/>
        <w:numPr>
          <w:ilvl w:val="0"/>
          <w:numId w:val="1"/>
        </w:numPr>
        <w:autoSpaceDE w:val="0"/>
        <w:autoSpaceDN w:val="0"/>
        <w:adjustRightInd w:val="0"/>
        <w:spacing w:after="120" w:line="480" w:lineRule="auto"/>
        <w:ind w:left="340"/>
      </w:pPr>
      <w:proofErr w:type="spellStart"/>
      <w:r w:rsidRPr="007637C9">
        <w:t>Krupat</w:t>
      </w:r>
      <w:proofErr w:type="spellEnd"/>
      <w:r w:rsidR="00AA23D7">
        <w:t>,</w:t>
      </w:r>
      <w:r w:rsidRPr="007637C9">
        <w:t xml:space="preserve"> E. (2018). Critical thoughts about the core entrustable professional activities in undergraduate medical education. </w:t>
      </w:r>
      <w:r w:rsidRPr="007637C9">
        <w:rPr>
          <w:i/>
        </w:rPr>
        <w:t>Academic Medicine</w:t>
      </w:r>
      <w:r w:rsidRPr="007637C9">
        <w:t xml:space="preserve">, </w:t>
      </w:r>
      <w:r w:rsidRPr="00AA23D7">
        <w:rPr>
          <w:bCs/>
          <w:i/>
          <w:iCs/>
        </w:rPr>
        <w:t>93</w:t>
      </w:r>
      <w:r w:rsidRPr="007637C9">
        <w:t>(3), 371–6.</w:t>
      </w:r>
    </w:p>
    <w:p w14:paraId="179F6825" w14:textId="77BCB69C" w:rsidR="009D62C9" w:rsidRPr="007637C9" w:rsidRDefault="009D62C9" w:rsidP="007637C9">
      <w:pPr>
        <w:pStyle w:val="ListParagraph"/>
        <w:numPr>
          <w:ilvl w:val="0"/>
          <w:numId w:val="1"/>
        </w:numPr>
        <w:autoSpaceDE w:val="0"/>
        <w:autoSpaceDN w:val="0"/>
        <w:adjustRightInd w:val="0"/>
        <w:spacing w:after="120" w:line="480" w:lineRule="auto"/>
        <w:ind w:left="340"/>
      </w:pPr>
      <w:r w:rsidRPr="007637C9">
        <w:t xml:space="preserve">Kwan, J., Crampton, R., </w:t>
      </w:r>
      <w:proofErr w:type="spellStart"/>
      <w:r w:rsidRPr="007637C9">
        <w:t>Mogensen</w:t>
      </w:r>
      <w:proofErr w:type="spellEnd"/>
      <w:r w:rsidRPr="007637C9">
        <w:t>, L.</w:t>
      </w:r>
      <w:r w:rsidR="00AA23D7">
        <w:t xml:space="preserve"> </w:t>
      </w:r>
      <w:r w:rsidRPr="007637C9">
        <w:t>L., Weaver, R., van der Vleuten, C.</w:t>
      </w:r>
      <w:r w:rsidR="00AA23D7">
        <w:t xml:space="preserve"> </w:t>
      </w:r>
      <w:r w:rsidRPr="007637C9">
        <w:t>P.</w:t>
      </w:r>
      <w:r w:rsidR="00AA23D7">
        <w:t xml:space="preserve"> </w:t>
      </w:r>
      <w:r w:rsidRPr="007637C9">
        <w:t>M., &amp; Hu, W.</w:t>
      </w:r>
      <w:r w:rsidR="00AA23D7">
        <w:t xml:space="preserve"> </w:t>
      </w:r>
      <w:r w:rsidRPr="007637C9">
        <w:t>C.</w:t>
      </w:r>
      <w:r w:rsidR="00AA23D7">
        <w:t xml:space="preserve"> </w:t>
      </w:r>
      <w:r w:rsidRPr="007637C9">
        <w:t xml:space="preserve">Y. (2016). Bridging the gap: a </w:t>
      </w:r>
      <w:proofErr w:type="gramStart"/>
      <w:r w:rsidRPr="007637C9">
        <w:t>five stage</w:t>
      </w:r>
      <w:proofErr w:type="gramEnd"/>
      <w:r w:rsidRPr="007637C9">
        <w:t xml:space="preserve"> approach for developing speciality-specific entrustable professional activities. </w:t>
      </w:r>
      <w:r w:rsidRPr="007637C9">
        <w:rPr>
          <w:i/>
          <w:iCs/>
        </w:rPr>
        <w:t>BMC Medical Education</w:t>
      </w:r>
      <w:r w:rsidRPr="007637C9">
        <w:t xml:space="preserve">, </w:t>
      </w:r>
      <w:r w:rsidRPr="00AA23D7">
        <w:rPr>
          <w:i/>
          <w:iCs/>
        </w:rPr>
        <w:t>16</w:t>
      </w:r>
      <w:r w:rsidRPr="007637C9">
        <w:t xml:space="preserve">, 117.  </w:t>
      </w:r>
    </w:p>
    <w:p w14:paraId="523DFEB1" w14:textId="77777777" w:rsidR="008D17CC" w:rsidRPr="008D17CC" w:rsidRDefault="008D17CC" w:rsidP="008D17CC">
      <w:pPr>
        <w:pStyle w:val="ListParagraph"/>
        <w:numPr>
          <w:ilvl w:val="0"/>
          <w:numId w:val="1"/>
        </w:numPr>
        <w:tabs>
          <w:tab w:val="left" w:pos="6840"/>
        </w:tabs>
        <w:spacing w:after="120" w:line="480" w:lineRule="auto"/>
        <w:ind w:left="334" w:hanging="357"/>
      </w:pPr>
      <w:r w:rsidRPr="008D17CC">
        <w:lastRenderedPageBreak/>
        <w:t xml:space="preserve">Lau, S.T., Ang, E., </w:t>
      </w:r>
      <w:proofErr w:type="spellStart"/>
      <w:r w:rsidRPr="008D17CC">
        <w:t>Samarasekera</w:t>
      </w:r>
      <w:proofErr w:type="spellEnd"/>
      <w:r w:rsidRPr="008D17CC">
        <w:t xml:space="preserve">, D.D., &amp; </w:t>
      </w:r>
      <w:proofErr w:type="spellStart"/>
      <w:r w:rsidRPr="008D17CC">
        <w:t>Shorey</w:t>
      </w:r>
      <w:proofErr w:type="spellEnd"/>
      <w:r w:rsidRPr="008D17CC">
        <w:t xml:space="preserve">, S. (2020). Evaluation of an undergraduate nursing entrustable professional activities framework: </w:t>
      </w:r>
      <w:proofErr w:type="gramStart"/>
      <w:r w:rsidRPr="008D17CC">
        <w:t>An exploratory qualitative research</w:t>
      </w:r>
      <w:proofErr w:type="gramEnd"/>
      <w:r w:rsidRPr="008D17CC">
        <w:t xml:space="preserve">. </w:t>
      </w:r>
      <w:r w:rsidRPr="008D17CC">
        <w:rPr>
          <w:i/>
        </w:rPr>
        <w:t>Nurse Education Today</w:t>
      </w:r>
      <w:r w:rsidRPr="008D17CC">
        <w:t xml:space="preserve">, </w:t>
      </w:r>
      <w:r w:rsidRPr="008D17CC">
        <w:rPr>
          <w:bCs/>
        </w:rPr>
        <w:t>87</w:t>
      </w:r>
      <w:r w:rsidRPr="008D17CC">
        <w:t>, 104343, DOI: 10.1016/j.nedt.2020.104343.</w:t>
      </w:r>
    </w:p>
    <w:p w14:paraId="596B1A3F" w14:textId="77777777" w:rsidR="009D62C9" w:rsidRPr="007637C9" w:rsidRDefault="009D62C9" w:rsidP="007637C9">
      <w:pPr>
        <w:pStyle w:val="ListParagraph"/>
        <w:numPr>
          <w:ilvl w:val="0"/>
          <w:numId w:val="1"/>
        </w:numPr>
        <w:tabs>
          <w:tab w:val="left" w:pos="6840"/>
        </w:tabs>
        <w:spacing w:after="120" w:line="480" w:lineRule="auto"/>
        <w:ind w:left="340"/>
      </w:pPr>
      <w:r w:rsidRPr="007637C9">
        <w:t xml:space="preserve">Le </w:t>
      </w:r>
      <w:proofErr w:type="spellStart"/>
      <w:r w:rsidRPr="007637C9">
        <w:t>Meur</w:t>
      </w:r>
      <w:proofErr w:type="spellEnd"/>
      <w:r w:rsidRPr="007637C9">
        <w:t xml:space="preserve">, Y., &amp; Torres-Ronda, L. (2019). 10 challenges facing today’s applied sports scientist. </w:t>
      </w:r>
      <w:r w:rsidRPr="007637C9">
        <w:rPr>
          <w:i/>
        </w:rPr>
        <w:t>Sports Performance and Science Reports</w:t>
      </w:r>
      <w:r w:rsidRPr="007637C9">
        <w:t xml:space="preserve">, </w:t>
      </w:r>
      <w:r w:rsidRPr="00AA23D7">
        <w:rPr>
          <w:bCs/>
          <w:i/>
          <w:iCs/>
        </w:rPr>
        <w:t>57</w:t>
      </w:r>
      <w:r w:rsidRPr="007637C9">
        <w:t>, 1-7.</w:t>
      </w:r>
    </w:p>
    <w:p w14:paraId="7CDAD5AC" w14:textId="77777777" w:rsidR="009D62C9" w:rsidRPr="007637C9" w:rsidRDefault="009D62C9" w:rsidP="007637C9">
      <w:pPr>
        <w:pStyle w:val="ListParagraph"/>
        <w:numPr>
          <w:ilvl w:val="0"/>
          <w:numId w:val="1"/>
        </w:numPr>
        <w:tabs>
          <w:tab w:val="left" w:pos="6840"/>
        </w:tabs>
        <w:spacing w:after="120" w:line="480" w:lineRule="auto"/>
        <w:ind w:left="340"/>
      </w:pPr>
      <w:r w:rsidRPr="007637C9">
        <w:t xml:space="preserve">Loftus, S. (2016). Competencies in medical education: a trap for the unwary. </w:t>
      </w:r>
      <w:r w:rsidRPr="007637C9">
        <w:rPr>
          <w:i/>
          <w:iCs/>
        </w:rPr>
        <w:t>Medical Science Educator</w:t>
      </w:r>
      <w:r w:rsidRPr="007637C9">
        <w:t xml:space="preserve">, </w:t>
      </w:r>
      <w:r w:rsidRPr="00AA23D7">
        <w:rPr>
          <w:i/>
          <w:iCs/>
        </w:rPr>
        <w:t>26</w:t>
      </w:r>
      <w:r w:rsidRPr="007637C9">
        <w:t>, 499-502.</w:t>
      </w:r>
    </w:p>
    <w:p w14:paraId="7244322D" w14:textId="5A0B1942" w:rsidR="009D62C9" w:rsidRPr="007637C9" w:rsidRDefault="009D62C9" w:rsidP="007637C9">
      <w:pPr>
        <w:pStyle w:val="ListParagraph"/>
        <w:numPr>
          <w:ilvl w:val="0"/>
          <w:numId w:val="1"/>
        </w:numPr>
        <w:tabs>
          <w:tab w:val="left" w:pos="6840"/>
        </w:tabs>
        <w:spacing w:after="120" w:line="480" w:lineRule="auto"/>
        <w:ind w:left="340"/>
      </w:pPr>
      <w:r w:rsidRPr="007637C9">
        <w:t>Meyer, E.</w:t>
      </w:r>
      <w:r w:rsidR="00AA23D7">
        <w:t xml:space="preserve"> </w:t>
      </w:r>
      <w:r w:rsidRPr="007637C9">
        <w:t>G., Chen, H.</w:t>
      </w:r>
      <w:r w:rsidR="00AA23D7">
        <w:t xml:space="preserve"> </w:t>
      </w:r>
      <w:r w:rsidRPr="007637C9">
        <w:t xml:space="preserve">C., </w:t>
      </w:r>
      <w:proofErr w:type="spellStart"/>
      <w:r w:rsidRPr="007637C9">
        <w:t>Uijtdehaage</w:t>
      </w:r>
      <w:proofErr w:type="spellEnd"/>
      <w:r w:rsidRPr="007637C9">
        <w:t xml:space="preserve">, S., </w:t>
      </w:r>
      <w:proofErr w:type="spellStart"/>
      <w:r w:rsidRPr="007637C9">
        <w:t>Durning</w:t>
      </w:r>
      <w:proofErr w:type="spellEnd"/>
      <w:r w:rsidRPr="007637C9">
        <w:t>, S.</w:t>
      </w:r>
      <w:r w:rsidR="00AA23D7">
        <w:t xml:space="preserve"> </w:t>
      </w:r>
      <w:r w:rsidRPr="007637C9">
        <w:t>J., &amp; Maggio, L.</w:t>
      </w:r>
      <w:r w:rsidR="00AA23D7">
        <w:t xml:space="preserve"> </w:t>
      </w:r>
      <w:r w:rsidRPr="007637C9">
        <w:t xml:space="preserve">A. (2019). Scoping Review of Entrustable Professional Activities in Undergraduate Medical Education. </w:t>
      </w:r>
      <w:r w:rsidRPr="007637C9">
        <w:rPr>
          <w:i/>
          <w:iCs/>
        </w:rPr>
        <w:t>Academic Medicine</w:t>
      </w:r>
      <w:r w:rsidRPr="007637C9">
        <w:rPr>
          <w:iCs/>
        </w:rPr>
        <w:t>,</w:t>
      </w:r>
      <w:r w:rsidRPr="007637C9">
        <w:t xml:space="preserve"> </w:t>
      </w:r>
      <w:r w:rsidRPr="00AA23D7">
        <w:rPr>
          <w:bCs/>
          <w:i/>
          <w:iCs/>
        </w:rPr>
        <w:t>94</w:t>
      </w:r>
      <w:r w:rsidRPr="007637C9">
        <w:t>(7), 1040-1049.</w:t>
      </w:r>
    </w:p>
    <w:p w14:paraId="3D45CA94" w14:textId="7373B98B" w:rsidR="009D62C9" w:rsidRPr="007637C9" w:rsidRDefault="009D62C9" w:rsidP="007637C9">
      <w:pPr>
        <w:pStyle w:val="ListParagraph"/>
        <w:numPr>
          <w:ilvl w:val="0"/>
          <w:numId w:val="1"/>
        </w:numPr>
        <w:spacing w:after="120" w:line="480" w:lineRule="auto"/>
        <w:ind w:left="340"/>
      </w:pPr>
      <w:r w:rsidRPr="007637C9">
        <w:t xml:space="preserve">Mossley, D. 2017. </w:t>
      </w:r>
      <w:r w:rsidRPr="007637C9">
        <w:rPr>
          <w:i/>
          <w:iCs/>
        </w:rPr>
        <w:t>Reflecting on threshold concepts: an introductory tool</w:t>
      </w:r>
      <w:r w:rsidRPr="007637C9">
        <w:t>. Higher Education Academy.</w:t>
      </w:r>
    </w:p>
    <w:p w14:paraId="39796EB3" w14:textId="6A0EF089" w:rsidR="009D62C9" w:rsidRPr="007637C9" w:rsidRDefault="009D62C9" w:rsidP="007637C9">
      <w:pPr>
        <w:pStyle w:val="ListParagraph"/>
        <w:numPr>
          <w:ilvl w:val="0"/>
          <w:numId w:val="1"/>
        </w:numPr>
        <w:tabs>
          <w:tab w:val="left" w:pos="6840"/>
        </w:tabs>
        <w:spacing w:after="120" w:line="480" w:lineRule="auto"/>
        <w:ind w:left="340"/>
      </w:pPr>
      <w:proofErr w:type="spellStart"/>
      <w:r w:rsidRPr="007637C9">
        <w:t>Obeso</w:t>
      </w:r>
      <w:proofErr w:type="spellEnd"/>
      <w:r w:rsidRPr="007637C9">
        <w:t xml:space="preserve">, V., Brown, D., </w:t>
      </w:r>
      <w:proofErr w:type="spellStart"/>
      <w:r w:rsidRPr="007637C9">
        <w:t>Aiyer</w:t>
      </w:r>
      <w:proofErr w:type="spellEnd"/>
      <w:r w:rsidRPr="007637C9">
        <w:t>, M.</w:t>
      </w:r>
      <w:r w:rsidR="00AA23D7">
        <w:t xml:space="preserve">, Barron, B., Bull, J., Carter, T., Emery, M., Gillespie, C., </w:t>
      </w:r>
      <w:proofErr w:type="spellStart"/>
      <w:r w:rsidR="00AA23D7">
        <w:t>Hormann</w:t>
      </w:r>
      <w:proofErr w:type="spellEnd"/>
      <w:r w:rsidR="00AA23D7">
        <w:t xml:space="preserve">, M., Hyderi, A., </w:t>
      </w:r>
      <w:proofErr w:type="spellStart"/>
      <w:r w:rsidR="00AA23D7">
        <w:t>Lupi</w:t>
      </w:r>
      <w:proofErr w:type="spellEnd"/>
      <w:r w:rsidR="00AA23D7">
        <w:t xml:space="preserve">, C., Schwarz, M., Uthman, M., </w:t>
      </w:r>
      <w:proofErr w:type="spellStart"/>
      <w:r w:rsidR="00AA23D7">
        <w:t>Vasilevskis</w:t>
      </w:r>
      <w:proofErr w:type="spellEnd"/>
      <w:r w:rsidR="00AA23D7">
        <w:t xml:space="preserve">, E. E., </w:t>
      </w:r>
      <w:proofErr w:type="spellStart"/>
      <w:r w:rsidR="00AA23D7">
        <w:t>Yinling</w:t>
      </w:r>
      <w:proofErr w:type="spellEnd"/>
      <w:r w:rsidR="00AA23D7">
        <w:t xml:space="preserve">, S., &amp; </w:t>
      </w:r>
      <w:proofErr w:type="spellStart"/>
      <w:r w:rsidR="00AA23D7">
        <w:t>Phillipi</w:t>
      </w:r>
      <w:proofErr w:type="spellEnd"/>
      <w:r w:rsidR="00AA23D7">
        <w:t>, C</w:t>
      </w:r>
      <w:r w:rsidRPr="007637C9">
        <w:t xml:space="preserve">. (Eds.). (2017). </w:t>
      </w:r>
      <w:r w:rsidRPr="007637C9">
        <w:rPr>
          <w:i/>
        </w:rPr>
        <w:t>Core EPAs for Entering Residency Pilot Program. Toolkits for the 13 Core Entrustable Professional Activities for Entering Residency.</w:t>
      </w:r>
      <w:r w:rsidRPr="007637C9">
        <w:t xml:space="preserve"> Association of American Medical Colleges; aamc.org/initiatives/</w:t>
      </w:r>
      <w:proofErr w:type="spellStart"/>
      <w:r w:rsidRPr="007637C9">
        <w:t>coreepas</w:t>
      </w:r>
      <w:proofErr w:type="spellEnd"/>
      <w:r w:rsidRPr="007637C9">
        <w:t>/</w:t>
      </w:r>
      <w:proofErr w:type="spellStart"/>
      <w:r w:rsidRPr="007637C9">
        <w:t>publicationsandpresentations</w:t>
      </w:r>
      <w:proofErr w:type="spellEnd"/>
      <w:r w:rsidRPr="007637C9">
        <w:t>.</w:t>
      </w:r>
    </w:p>
    <w:p w14:paraId="0298A831" w14:textId="77777777" w:rsidR="009D62C9" w:rsidRPr="007637C9" w:rsidRDefault="009D62C9" w:rsidP="007637C9">
      <w:pPr>
        <w:pStyle w:val="ListParagraph"/>
        <w:numPr>
          <w:ilvl w:val="0"/>
          <w:numId w:val="1"/>
        </w:numPr>
        <w:tabs>
          <w:tab w:val="left" w:pos="6840"/>
        </w:tabs>
        <w:spacing w:after="120" w:line="480" w:lineRule="auto"/>
        <w:ind w:left="340"/>
      </w:pPr>
      <w:r w:rsidRPr="007637C9">
        <w:t xml:space="preserve">O’Dowd, E., Lydon, S., O’Connor, P., Madden, </w:t>
      </w:r>
      <w:r w:rsidRPr="007637C9">
        <w:rPr>
          <w:lang w:val="en-US"/>
        </w:rPr>
        <w:t xml:space="preserve">C., &amp; </w:t>
      </w:r>
      <w:r w:rsidRPr="007637C9">
        <w:t xml:space="preserve">Byrne, D. (2019). A systematic review of 7 years of research on entrustable professional activities in graduate medical education, 2011-2018. </w:t>
      </w:r>
      <w:r w:rsidRPr="007637C9">
        <w:rPr>
          <w:i/>
          <w:iCs/>
        </w:rPr>
        <w:t>Medical Education</w:t>
      </w:r>
      <w:r w:rsidRPr="007637C9">
        <w:t xml:space="preserve">, </w:t>
      </w:r>
      <w:r w:rsidRPr="00520A3E">
        <w:rPr>
          <w:i/>
          <w:iCs/>
        </w:rPr>
        <w:t>53</w:t>
      </w:r>
      <w:r w:rsidRPr="007637C9">
        <w:t>(3), 234-249.</w:t>
      </w:r>
    </w:p>
    <w:p w14:paraId="35790724" w14:textId="77777777" w:rsidR="009D62C9" w:rsidRPr="008D17CC" w:rsidRDefault="009D62C9" w:rsidP="008D17CC">
      <w:pPr>
        <w:pStyle w:val="ListParagraph"/>
        <w:numPr>
          <w:ilvl w:val="0"/>
          <w:numId w:val="1"/>
        </w:numPr>
        <w:tabs>
          <w:tab w:val="left" w:pos="6840"/>
        </w:tabs>
        <w:spacing w:after="120" w:line="480" w:lineRule="auto"/>
        <w:ind w:left="334" w:hanging="357"/>
      </w:pPr>
      <w:proofErr w:type="spellStart"/>
      <w:r w:rsidRPr="007637C9">
        <w:t>Pangaro</w:t>
      </w:r>
      <w:proofErr w:type="spellEnd"/>
      <w:r w:rsidRPr="007637C9">
        <w:t xml:space="preserve">, L., &amp; ten Cate, O. (2013). Frameworks for learner assessment in medicine: </w:t>
      </w:r>
      <w:r w:rsidRPr="008D17CC">
        <w:t xml:space="preserve">AMEE guide no. 78. </w:t>
      </w:r>
      <w:r w:rsidRPr="008D17CC">
        <w:rPr>
          <w:i/>
        </w:rPr>
        <w:t>Medical Teacher</w:t>
      </w:r>
      <w:r w:rsidRPr="008D17CC">
        <w:t xml:space="preserve">, </w:t>
      </w:r>
      <w:r w:rsidRPr="008D17CC">
        <w:rPr>
          <w:bCs/>
          <w:i/>
          <w:iCs/>
        </w:rPr>
        <w:t>35</w:t>
      </w:r>
      <w:r w:rsidRPr="008D17CC">
        <w:t>, e1197-e1210.</w:t>
      </w:r>
    </w:p>
    <w:p w14:paraId="7834337B" w14:textId="77777777" w:rsidR="008D17CC" w:rsidRPr="008D17CC" w:rsidRDefault="008D17CC" w:rsidP="008D17CC">
      <w:pPr>
        <w:pStyle w:val="ListParagraph"/>
        <w:numPr>
          <w:ilvl w:val="0"/>
          <w:numId w:val="1"/>
        </w:numPr>
        <w:spacing w:after="120" w:line="480" w:lineRule="auto"/>
        <w:ind w:left="334" w:hanging="357"/>
      </w:pPr>
      <w:proofErr w:type="spellStart"/>
      <w:r w:rsidRPr="008D17CC">
        <w:lastRenderedPageBreak/>
        <w:t>Pittenger</w:t>
      </w:r>
      <w:proofErr w:type="spellEnd"/>
      <w:r w:rsidRPr="008D17CC">
        <w:t xml:space="preserve">, A.L., Gleason, B.L., Haines, S.T., Neely, S., &amp; Medina, M.S. (2019). Pharmacy </w:t>
      </w:r>
      <w:proofErr w:type="gramStart"/>
      <w:r w:rsidRPr="008D17CC">
        <w:t>students</w:t>
      </w:r>
      <w:proofErr w:type="gramEnd"/>
      <w:r w:rsidRPr="008D17CC">
        <w:t xml:space="preserve"> perceptions of the entrustable professional activities. </w:t>
      </w:r>
      <w:r w:rsidRPr="008D17CC">
        <w:rPr>
          <w:i/>
        </w:rPr>
        <w:t>American Journal of Pharmaceutical Education</w:t>
      </w:r>
      <w:r w:rsidRPr="008D17CC">
        <w:t xml:space="preserve">, </w:t>
      </w:r>
      <w:r w:rsidRPr="008D17CC">
        <w:rPr>
          <w:bCs/>
        </w:rPr>
        <w:t>83</w:t>
      </w:r>
      <w:r w:rsidRPr="008D17CC">
        <w:t>(9), 1974-1982.</w:t>
      </w:r>
      <w:r w:rsidRPr="008D17CC">
        <w:rPr>
          <w:i/>
        </w:rPr>
        <w:t xml:space="preserve"> </w:t>
      </w:r>
      <w:r w:rsidRPr="008D17CC">
        <w:t xml:space="preserve"> </w:t>
      </w:r>
    </w:p>
    <w:p w14:paraId="4180CFB4" w14:textId="77777777" w:rsidR="008D17CC" w:rsidRPr="008D17CC" w:rsidRDefault="008D17CC" w:rsidP="008D17CC">
      <w:pPr>
        <w:pStyle w:val="ListParagraph"/>
        <w:numPr>
          <w:ilvl w:val="0"/>
          <w:numId w:val="1"/>
        </w:numPr>
        <w:spacing w:after="120" w:line="480" w:lineRule="auto"/>
        <w:ind w:left="334" w:hanging="357"/>
        <w:rPr>
          <w:lang w:eastAsia="en-GB"/>
        </w:rPr>
      </w:pPr>
      <w:r w:rsidRPr="008D17CC">
        <w:rPr>
          <w:lang w:eastAsia="en-GB"/>
        </w:rPr>
        <w:t xml:space="preserve">Rhodes, L., </w:t>
      </w:r>
      <w:proofErr w:type="spellStart"/>
      <w:r w:rsidRPr="008D17CC">
        <w:rPr>
          <w:lang w:eastAsia="en-GB"/>
        </w:rPr>
        <w:t>Weck</w:t>
      </w:r>
      <w:proofErr w:type="spellEnd"/>
      <w:r w:rsidRPr="008D17CC">
        <w:rPr>
          <w:lang w:eastAsia="en-GB"/>
        </w:rPr>
        <w:t xml:space="preserve"> Marciniak, M., McLaughlin, J., Melendez, C., Leadon, K., &amp; </w:t>
      </w:r>
      <w:proofErr w:type="spellStart"/>
      <w:r w:rsidRPr="008D17CC">
        <w:rPr>
          <w:lang w:eastAsia="en-GB"/>
        </w:rPr>
        <w:t>Pinelli</w:t>
      </w:r>
      <w:proofErr w:type="spellEnd"/>
      <w:r w:rsidRPr="008D17CC">
        <w:rPr>
          <w:lang w:eastAsia="en-GB"/>
        </w:rPr>
        <w:t xml:space="preserve">, N. Exploratory analysis of entrustable professional activities as a performance measure during early practice experiences in a </w:t>
      </w:r>
      <w:proofErr w:type="gramStart"/>
      <w:r w:rsidRPr="008D17CC">
        <w:rPr>
          <w:lang w:eastAsia="en-GB"/>
        </w:rPr>
        <w:t>doctor of pharmacy</w:t>
      </w:r>
      <w:proofErr w:type="gramEnd"/>
      <w:r w:rsidRPr="008D17CC">
        <w:rPr>
          <w:lang w:eastAsia="en-GB"/>
        </w:rPr>
        <w:t xml:space="preserve"> program. </w:t>
      </w:r>
      <w:r w:rsidRPr="008D17CC">
        <w:rPr>
          <w:i/>
          <w:iCs/>
          <w:lang w:eastAsia="en-GB"/>
        </w:rPr>
        <w:t>American Journal of Pharmaceutical Education</w:t>
      </w:r>
      <w:r w:rsidRPr="008D17CC">
        <w:rPr>
          <w:lang w:eastAsia="en-GB"/>
        </w:rPr>
        <w:t>, 83(2), 6571.</w:t>
      </w:r>
    </w:p>
    <w:p w14:paraId="79A16DD5" w14:textId="77777777" w:rsidR="008D17CC" w:rsidRPr="008D17CC" w:rsidRDefault="009D62C9" w:rsidP="008D17CC">
      <w:pPr>
        <w:pStyle w:val="ListParagraph"/>
        <w:numPr>
          <w:ilvl w:val="0"/>
          <w:numId w:val="1"/>
        </w:numPr>
        <w:spacing w:after="120" w:line="480" w:lineRule="auto"/>
        <w:ind w:left="334" w:hanging="357"/>
      </w:pPr>
      <w:r w:rsidRPr="008D17CC">
        <w:t xml:space="preserve">Sleep, M., &amp; Reed, H. (2006). Views of sport science graduates regarding work skills developed at university. </w:t>
      </w:r>
      <w:r w:rsidRPr="008D17CC">
        <w:rPr>
          <w:i/>
        </w:rPr>
        <w:t>Teaching in Higher Education</w:t>
      </w:r>
      <w:r w:rsidRPr="008D17CC">
        <w:t xml:space="preserve">, </w:t>
      </w:r>
      <w:r w:rsidRPr="008D17CC">
        <w:rPr>
          <w:bCs/>
          <w:i/>
          <w:iCs/>
        </w:rPr>
        <w:t>11</w:t>
      </w:r>
      <w:r w:rsidRPr="008D17CC">
        <w:t>(1), 47-61.</w:t>
      </w:r>
    </w:p>
    <w:p w14:paraId="050A2F52" w14:textId="77777777" w:rsidR="008D17CC" w:rsidRPr="008D17CC" w:rsidRDefault="009D62C9" w:rsidP="008D17CC">
      <w:pPr>
        <w:pStyle w:val="ListParagraph"/>
        <w:numPr>
          <w:ilvl w:val="0"/>
          <w:numId w:val="1"/>
        </w:numPr>
        <w:spacing w:after="120" w:line="480" w:lineRule="auto"/>
        <w:ind w:left="334" w:hanging="357"/>
        <w:rPr>
          <w:rStyle w:val="value"/>
        </w:rPr>
      </w:pPr>
      <w:r w:rsidRPr="008D17CC">
        <w:t xml:space="preserve">Smith, M.D. (2019). The application of entrustable professional activities (EPAs) within sport science education: An exploratory approach. </w:t>
      </w:r>
      <w:r w:rsidRPr="008D17CC">
        <w:rPr>
          <w:i/>
        </w:rPr>
        <w:t xml:space="preserve">The University of Lincoln Journal of Higher Education </w:t>
      </w:r>
      <w:r w:rsidRPr="008D17CC">
        <w:t xml:space="preserve">Research, </w:t>
      </w:r>
      <w:r w:rsidRPr="008D17CC">
        <w:rPr>
          <w:bCs/>
          <w:i/>
          <w:iCs/>
        </w:rPr>
        <w:t>1</w:t>
      </w:r>
      <w:r w:rsidRPr="008D17CC">
        <w:t xml:space="preserve">(5), DOI: </w:t>
      </w:r>
      <w:r w:rsidRPr="008D17CC">
        <w:rPr>
          <w:rStyle w:val="value"/>
        </w:rPr>
        <w:t xml:space="preserve">10.25507/15201938 </w:t>
      </w:r>
    </w:p>
    <w:p w14:paraId="083BF4A1" w14:textId="77777777" w:rsidR="008D17CC" w:rsidRPr="008D17CC" w:rsidRDefault="009D62C9" w:rsidP="008D17CC">
      <w:pPr>
        <w:pStyle w:val="ListParagraph"/>
        <w:numPr>
          <w:ilvl w:val="0"/>
          <w:numId w:val="1"/>
        </w:numPr>
        <w:spacing w:after="120" w:line="480" w:lineRule="auto"/>
        <w:ind w:left="334" w:hanging="357"/>
      </w:pPr>
      <w:r w:rsidRPr="008D17CC">
        <w:t xml:space="preserve">Talbot, M. (2004). Monkey see, monkey do: A critique of the competency model of graduate medical education. </w:t>
      </w:r>
      <w:r w:rsidRPr="008D17CC">
        <w:rPr>
          <w:i/>
          <w:iCs/>
        </w:rPr>
        <w:t>Medical Education</w:t>
      </w:r>
      <w:r w:rsidRPr="008D17CC">
        <w:t xml:space="preserve">, </w:t>
      </w:r>
      <w:r w:rsidRPr="008D17CC">
        <w:rPr>
          <w:i/>
          <w:iCs/>
        </w:rPr>
        <w:t>38</w:t>
      </w:r>
      <w:r w:rsidRPr="008D17CC">
        <w:t>(6), 587-592.</w:t>
      </w:r>
    </w:p>
    <w:p w14:paraId="7EF36B55" w14:textId="77777777" w:rsidR="008D17CC" w:rsidRPr="008D17CC" w:rsidRDefault="009D62C9" w:rsidP="008D17CC">
      <w:pPr>
        <w:pStyle w:val="ListParagraph"/>
        <w:numPr>
          <w:ilvl w:val="0"/>
          <w:numId w:val="1"/>
        </w:numPr>
        <w:spacing w:after="120" w:line="480" w:lineRule="auto"/>
        <w:ind w:left="334" w:hanging="357"/>
      </w:pPr>
      <w:r w:rsidRPr="008D17CC">
        <w:t xml:space="preserve">Ten Cate, O. 2005. </w:t>
      </w:r>
      <w:proofErr w:type="spellStart"/>
      <w:r w:rsidRPr="008D17CC">
        <w:t>Entrustability</w:t>
      </w:r>
      <w:proofErr w:type="spellEnd"/>
      <w:r w:rsidRPr="008D17CC">
        <w:t xml:space="preserve"> of professional activities and competency‐based training. </w:t>
      </w:r>
      <w:r w:rsidRPr="008D17CC">
        <w:rPr>
          <w:i/>
          <w:iCs/>
        </w:rPr>
        <w:t>Medical Education</w:t>
      </w:r>
      <w:r w:rsidRPr="008D17CC">
        <w:t xml:space="preserve">, </w:t>
      </w:r>
      <w:r w:rsidRPr="008D17CC">
        <w:rPr>
          <w:bCs/>
          <w:i/>
          <w:iCs/>
        </w:rPr>
        <w:t>39</w:t>
      </w:r>
      <w:r w:rsidRPr="008D17CC">
        <w:t>(12), 1176-1177.</w:t>
      </w:r>
    </w:p>
    <w:p w14:paraId="368E67B2" w14:textId="77777777" w:rsidR="008D17CC" w:rsidRPr="008D17CC" w:rsidRDefault="009D62C9" w:rsidP="008D17CC">
      <w:pPr>
        <w:pStyle w:val="ListParagraph"/>
        <w:numPr>
          <w:ilvl w:val="0"/>
          <w:numId w:val="1"/>
        </w:numPr>
        <w:spacing w:after="120" w:line="480" w:lineRule="auto"/>
        <w:ind w:left="334" w:hanging="357"/>
      </w:pPr>
      <w:r w:rsidRPr="008D17CC">
        <w:t xml:space="preserve">Ten Cate, O. (2013). Nuts and bolts of entrustable professional activities. </w:t>
      </w:r>
      <w:r w:rsidRPr="008D17CC">
        <w:rPr>
          <w:i/>
        </w:rPr>
        <w:t>Journal of Graduate Medical Education</w:t>
      </w:r>
      <w:r w:rsidRPr="008D17CC">
        <w:t xml:space="preserve">, </w:t>
      </w:r>
      <w:r w:rsidRPr="008D17CC">
        <w:rPr>
          <w:bCs/>
          <w:i/>
          <w:iCs/>
        </w:rPr>
        <w:t>5</w:t>
      </w:r>
      <w:r w:rsidRPr="008D17CC">
        <w:t>, 157-158.</w:t>
      </w:r>
    </w:p>
    <w:p w14:paraId="089AAD16" w14:textId="77777777" w:rsidR="008D17CC" w:rsidRPr="008D17CC" w:rsidRDefault="00520A3E" w:rsidP="008D17CC">
      <w:pPr>
        <w:pStyle w:val="ListParagraph"/>
        <w:numPr>
          <w:ilvl w:val="0"/>
          <w:numId w:val="1"/>
        </w:numPr>
        <w:spacing w:after="120" w:line="480" w:lineRule="auto"/>
        <w:ind w:left="334" w:hanging="357"/>
      </w:pPr>
      <w:r w:rsidRPr="008D17CC">
        <w:t xml:space="preserve">Ten Cate, O., Chen, H. C., Hoff, R. G., Peters, H., Bok, H., &amp; van der Schaaf, M. (2015). Curriculum development for the workplace using </w:t>
      </w:r>
      <w:r w:rsidR="00286D76" w:rsidRPr="008D17CC">
        <w:t xml:space="preserve">Entrustable Professional Activities (EPAs): AMEE Guide No. 99. </w:t>
      </w:r>
      <w:r w:rsidR="00286D76" w:rsidRPr="008D17CC">
        <w:rPr>
          <w:i/>
          <w:iCs/>
        </w:rPr>
        <w:t>Medical Teacher</w:t>
      </w:r>
      <w:r w:rsidR="00286D76" w:rsidRPr="008D17CC">
        <w:t xml:space="preserve">, </w:t>
      </w:r>
      <w:r w:rsidR="00286D76" w:rsidRPr="008D17CC">
        <w:rPr>
          <w:i/>
          <w:iCs/>
        </w:rPr>
        <w:t>37</w:t>
      </w:r>
      <w:r w:rsidR="00286D76" w:rsidRPr="008D17CC">
        <w:t>(11), 983-1002.</w:t>
      </w:r>
    </w:p>
    <w:p w14:paraId="52A63A37" w14:textId="77777777" w:rsidR="008D17CC" w:rsidRPr="008D17CC" w:rsidRDefault="009D62C9" w:rsidP="008D17CC">
      <w:pPr>
        <w:pStyle w:val="ListParagraph"/>
        <w:numPr>
          <w:ilvl w:val="0"/>
          <w:numId w:val="1"/>
        </w:numPr>
        <w:spacing w:after="120" w:line="480" w:lineRule="auto"/>
        <w:ind w:left="334" w:hanging="357"/>
      </w:pPr>
      <w:r w:rsidRPr="008D17CC">
        <w:t xml:space="preserve">Ten Cate. (2018). A primer on entrustable professional activities. </w:t>
      </w:r>
      <w:r w:rsidRPr="008D17CC">
        <w:rPr>
          <w:i/>
        </w:rPr>
        <w:t>Korean Journal of Medical Education</w:t>
      </w:r>
      <w:r w:rsidRPr="008D17CC">
        <w:t xml:space="preserve">, </w:t>
      </w:r>
      <w:r w:rsidRPr="008D17CC">
        <w:rPr>
          <w:bCs/>
          <w:i/>
          <w:iCs/>
        </w:rPr>
        <w:t>30</w:t>
      </w:r>
      <w:r w:rsidRPr="008D17CC">
        <w:t>(1), 1-10.</w:t>
      </w:r>
    </w:p>
    <w:p w14:paraId="47B49690" w14:textId="77777777" w:rsidR="008D17CC" w:rsidRPr="008D17CC" w:rsidRDefault="009D62C9" w:rsidP="008D17CC">
      <w:pPr>
        <w:pStyle w:val="ListParagraph"/>
        <w:numPr>
          <w:ilvl w:val="0"/>
          <w:numId w:val="1"/>
        </w:numPr>
        <w:spacing w:after="120" w:line="480" w:lineRule="auto"/>
        <w:ind w:left="334" w:hanging="357"/>
      </w:pPr>
      <w:r w:rsidRPr="008D17CC">
        <w:lastRenderedPageBreak/>
        <w:t xml:space="preserve">Ten Cate, O., &amp; Scheele, F. (2007). Viewpoint: competency-based postgraduate training: can we bridge the gap between theory and clinical practice? </w:t>
      </w:r>
      <w:r w:rsidRPr="008D17CC">
        <w:rPr>
          <w:i/>
          <w:iCs/>
        </w:rPr>
        <w:t>Academic Medicine</w:t>
      </w:r>
      <w:r w:rsidRPr="008D17CC">
        <w:t xml:space="preserve">, </w:t>
      </w:r>
      <w:r w:rsidRPr="008D17CC">
        <w:rPr>
          <w:i/>
          <w:iCs/>
        </w:rPr>
        <w:t>82</w:t>
      </w:r>
      <w:r w:rsidRPr="008D17CC">
        <w:t>(6), 542-547.</w:t>
      </w:r>
    </w:p>
    <w:p w14:paraId="7EC3D43B" w14:textId="77777777" w:rsidR="008D17CC" w:rsidRPr="008D17CC" w:rsidRDefault="009D62C9" w:rsidP="008D17CC">
      <w:pPr>
        <w:pStyle w:val="ListParagraph"/>
        <w:numPr>
          <w:ilvl w:val="0"/>
          <w:numId w:val="1"/>
        </w:numPr>
        <w:spacing w:after="120" w:line="480" w:lineRule="auto"/>
        <w:ind w:left="334" w:hanging="357"/>
      </w:pPr>
      <w:r w:rsidRPr="008D17CC">
        <w:t xml:space="preserve">Van </w:t>
      </w:r>
      <w:proofErr w:type="spellStart"/>
      <w:r w:rsidRPr="008D17CC">
        <w:t>Bockel</w:t>
      </w:r>
      <w:proofErr w:type="spellEnd"/>
      <w:r w:rsidRPr="008D17CC">
        <w:t>, E.</w:t>
      </w:r>
      <w:r w:rsidR="00520A3E" w:rsidRPr="008D17CC">
        <w:t xml:space="preserve"> </w:t>
      </w:r>
      <w:r w:rsidRPr="008D17CC">
        <w:t>A.</w:t>
      </w:r>
      <w:r w:rsidR="00520A3E" w:rsidRPr="008D17CC">
        <w:t xml:space="preserve"> </w:t>
      </w:r>
      <w:r w:rsidRPr="008D17CC">
        <w:t xml:space="preserve">P., </w:t>
      </w:r>
      <w:proofErr w:type="spellStart"/>
      <w:r w:rsidRPr="008D17CC">
        <w:t>Walstock</w:t>
      </w:r>
      <w:proofErr w:type="spellEnd"/>
      <w:r w:rsidRPr="008D17CC">
        <w:t>, P.</w:t>
      </w:r>
      <w:r w:rsidR="00520A3E" w:rsidRPr="008D17CC">
        <w:t xml:space="preserve"> </w:t>
      </w:r>
      <w:r w:rsidRPr="008D17CC">
        <w:t>A., van Mook, W.</w:t>
      </w:r>
      <w:r w:rsidR="00520A3E" w:rsidRPr="008D17CC">
        <w:t xml:space="preserve"> </w:t>
      </w:r>
      <w:r w:rsidRPr="008D17CC">
        <w:t>N.</w:t>
      </w:r>
      <w:r w:rsidR="00520A3E" w:rsidRPr="008D17CC">
        <w:t xml:space="preserve"> </w:t>
      </w:r>
      <w:r w:rsidRPr="008D17CC">
        <w:t>K.</w:t>
      </w:r>
      <w:r w:rsidR="00520A3E" w:rsidRPr="008D17CC">
        <w:t xml:space="preserve"> </w:t>
      </w:r>
      <w:r w:rsidRPr="008D17CC">
        <w:t xml:space="preserve">A., </w:t>
      </w:r>
      <w:proofErr w:type="spellStart"/>
      <w:r w:rsidRPr="008D17CC">
        <w:t>Arbous</w:t>
      </w:r>
      <w:proofErr w:type="spellEnd"/>
      <w:r w:rsidRPr="008D17CC">
        <w:t>, M.</w:t>
      </w:r>
      <w:r w:rsidR="00520A3E" w:rsidRPr="008D17CC">
        <w:t xml:space="preserve"> </w:t>
      </w:r>
      <w:r w:rsidRPr="008D17CC">
        <w:t xml:space="preserve">S., </w:t>
      </w:r>
      <w:proofErr w:type="spellStart"/>
      <w:r w:rsidRPr="008D17CC">
        <w:t>Tepaske</w:t>
      </w:r>
      <w:proofErr w:type="spellEnd"/>
      <w:r w:rsidRPr="008D17CC">
        <w:t>, R., van Hemmel, T.</w:t>
      </w:r>
      <w:r w:rsidR="00520A3E" w:rsidRPr="008D17CC">
        <w:t xml:space="preserve"> </w:t>
      </w:r>
      <w:r w:rsidRPr="008D17CC">
        <w:t>J.</w:t>
      </w:r>
      <w:r w:rsidR="00520A3E" w:rsidRPr="008D17CC">
        <w:t xml:space="preserve"> </w:t>
      </w:r>
      <w:r w:rsidRPr="008D17CC">
        <w:t>D., Muller, M.</w:t>
      </w:r>
      <w:r w:rsidR="00520A3E" w:rsidRPr="008D17CC">
        <w:t xml:space="preserve"> </w:t>
      </w:r>
      <w:r w:rsidRPr="008D17CC">
        <w:t>C.</w:t>
      </w:r>
      <w:r w:rsidR="00520A3E" w:rsidRPr="008D17CC">
        <w:t xml:space="preserve"> </w:t>
      </w:r>
      <w:r w:rsidRPr="008D17CC">
        <w:t xml:space="preserve">A., </w:t>
      </w:r>
      <w:proofErr w:type="spellStart"/>
      <w:r w:rsidRPr="008D17CC">
        <w:t>Delwig</w:t>
      </w:r>
      <w:proofErr w:type="spellEnd"/>
      <w:r w:rsidRPr="008D17CC">
        <w:t xml:space="preserve">, H., &amp; </w:t>
      </w:r>
      <w:proofErr w:type="spellStart"/>
      <w:r w:rsidRPr="008D17CC">
        <w:t>Tulleken</w:t>
      </w:r>
      <w:proofErr w:type="spellEnd"/>
      <w:r w:rsidRPr="008D17CC">
        <w:t>, J.</w:t>
      </w:r>
      <w:r w:rsidR="00520A3E" w:rsidRPr="008D17CC">
        <w:t xml:space="preserve"> </w:t>
      </w:r>
      <w:r w:rsidRPr="008D17CC">
        <w:t xml:space="preserve">E. (2019). Entrustable professional activities (EPAs) for postgraduate competency based intensive care medicine training in the Netherlands: The next step towards excellence in intensive care medicine training. </w:t>
      </w:r>
      <w:r w:rsidRPr="008D17CC">
        <w:rPr>
          <w:i/>
        </w:rPr>
        <w:t>Journal of Critical Care</w:t>
      </w:r>
      <w:r w:rsidRPr="008D17CC">
        <w:t xml:space="preserve">, </w:t>
      </w:r>
      <w:r w:rsidRPr="008D17CC">
        <w:rPr>
          <w:bCs/>
          <w:i/>
          <w:iCs/>
        </w:rPr>
        <w:t>54</w:t>
      </w:r>
      <w:r w:rsidRPr="008D17CC">
        <w:t>, 261-267.</w:t>
      </w:r>
    </w:p>
    <w:p w14:paraId="02F5A280" w14:textId="77777777" w:rsidR="008D17CC" w:rsidRPr="008D17CC" w:rsidRDefault="009D62C9" w:rsidP="008D17CC">
      <w:pPr>
        <w:pStyle w:val="ListParagraph"/>
        <w:numPr>
          <w:ilvl w:val="0"/>
          <w:numId w:val="1"/>
        </w:numPr>
        <w:spacing w:after="120" w:line="480" w:lineRule="auto"/>
        <w:ind w:left="334" w:hanging="357"/>
      </w:pPr>
      <w:r w:rsidRPr="008D17CC">
        <w:t>Van Loon, K.</w:t>
      </w:r>
      <w:r w:rsidR="00520A3E" w:rsidRPr="008D17CC">
        <w:t xml:space="preserve"> </w:t>
      </w:r>
      <w:r w:rsidRPr="008D17CC">
        <w:t>A., Driessen, E.</w:t>
      </w:r>
      <w:r w:rsidR="00520A3E" w:rsidRPr="008D17CC">
        <w:t xml:space="preserve"> </w:t>
      </w:r>
      <w:r w:rsidRPr="008D17CC">
        <w:t xml:space="preserve">W., </w:t>
      </w:r>
      <w:proofErr w:type="spellStart"/>
      <w:r w:rsidRPr="008D17CC">
        <w:t>Teunissen</w:t>
      </w:r>
      <w:proofErr w:type="spellEnd"/>
      <w:r w:rsidRPr="008D17CC">
        <w:t>, P.</w:t>
      </w:r>
      <w:r w:rsidR="00520A3E" w:rsidRPr="008D17CC">
        <w:t xml:space="preserve"> </w:t>
      </w:r>
      <w:r w:rsidRPr="008D17CC">
        <w:t xml:space="preserve">W., &amp; Scheele, F. (2014). Experiences with EPAs, potential </w:t>
      </w:r>
      <w:proofErr w:type="gramStart"/>
      <w:r w:rsidRPr="008D17CC">
        <w:t>benefits</w:t>
      </w:r>
      <w:proofErr w:type="gramEnd"/>
      <w:r w:rsidRPr="008D17CC">
        <w:t xml:space="preserve"> and pitfalls. </w:t>
      </w:r>
      <w:r w:rsidRPr="008D17CC">
        <w:rPr>
          <w:i/>
          <w:iCs/>
        </w:rPr>
        <w:t>Medical Teacher</w:t>
      </w:r>
      <w:r w:rsidRPr="008D17CC">
        <w:t xml:space="preserve">, </w:t>
      </w:r>
      <w:r w:rsidRPr="008D17CC">
        <w:rPr>
          <w:i/>
          <w:iCs/>
        </w:rPr>
        <w:t>36</w:t>
      </w:r>
      <w:r w:rsidRPr="008D17CC">
        <w:t>(8), 698-702.</w:t>
      </w:r>
    </w:p>
    <w:p w14:paraId="350F1ABC" w14:textId="77777777" w:rsidR="008D17CC" w:rsidRPr="008D17CC" w:rsidRDefault="009D62C9" w:rsidP="008D17CC">
      <w:pPr>
        <w:pStyle w:val="ListParagraph"/>
        <w:numPr>
          <w:ilvl w:val="0"/>
          <w:numId w:val="1"/>
        </w:numPr>
        <w:spacing w:after="120" w:line="480" w:lineRule="auto"/>
        <w:ind w:left="334" w:hanging="357"/>
      </w:pPr>
      <w:r w:rsidRPr="008D17CC">
        <w:t>Wagner, S.</w:t>
      </w:r>
      <w:r w:rsidR="00520A3E" w:rsidRPr="008D17CC">
        <w:t xml:space="preserve"> </w:t>
      </w:r>
      <w:r w:rsidRPr="008D17CC">
        <w:t xml:space="preserve">J., &amp; Reeves, S. (2015). Milestones and entrustable professional activities: the key to practically translating competencies for interpersonal education? </w:t>
      </w:r>
      <w:r w:rsidRPr="008D17CC">
        <w:rPr>
          <w:i/>
        </w:rPr>
        <w:t>Journal of Interprofessional Care</w:t>
      </w:r>
      <w:r w:rsidRPr="008D17CC">
        <w:t xml:space="preserve">, </w:t>
      </w:r>
      <w:r w:rsidRPr="008D17CC">
        <w:rPr>
          <w:bCs/>
          <w:i/>
          <w:iCs/>
        </w:rPr>
        <w:t>29</w:t>
      </w:r>
      <w:r w:rsidRPr="008D17CC">
        <w:t>(5), 507-508.</w:t>
      </w:r>
    </w:p>
    <w:p w14:paraId="1252F4D4" w14:textId="55804620" w:rsidR="00F9213C" w:rsidRPr="008D17CC" w:rsidRDefault="009D62C9" w:rsidP="008D17CC">
      <w:pPr>
        <w:pStyle w:val="ListParagraph"/>
        <w:numPr>
          <w:ilvl w:val="0"/>
          <w:numId w:val="1"/>
        </w:numPr>
        <w:spacing w:after="120" w:line="480" w:lineRule="auto"/>
        <w:ind w:left="334" w:hanging="357"/>
      </w:pPr>
      <w:r w:rsidRPr="008D17CC">
        <w:t>Weller, J.</w:t>
      </w:r>
      <w:r w:rsidR="00520A3E" w:rsidRPr="008D17CC">
        <w:t xml:space="preserve"> </w:t>
      </w:r>
      <w:r w:rsidRPr="008D17CC">
        <w:t xml:space="preserve">M., </w:t>
      </w:r>
      <w:proofErr w:type="spellStart"/>
      <w:r w:rsidRPr="008D17CC">
        <w:t>Misur</w:t>
      </w:r>
      <w:proofErr w:type="spellEnd"/>
      <w:r w:rsidRPr="008D17CC">
        <w:t xml:space="preserve">, M., Nicolson, S., Morris, J., </w:t>
      </w:r>
      <w:proofErr w:type="spellStart"/>
      <w:r w:rsidRPr="008D17CC">
        <w:t>Ure</w:t>
      </w:r>
      <w:proofErr w:type="spellEnd"/>
      <w:r w:rsidRPr="008D17CC">
        <w:t xml:space="preserve">, S., Crossley, J., &amp; Jolly, B. (2014). Can I leave the theatre? A key to more reliable workplace-based assessment. </w:t>
      </w:r>
      <w:r w:rsidRPr="008D17CC">
        <w:rPr>
          <w:i/>
        </w:rPr>
        <w:t>British Journal of Anaesthesia</w:t>
      </w:r>
      <w:r w:rsidRPr="008D17CC">
        <w:t xml:space="preserve">, </w:t>
      </w:r>
      <w:r w:rsidRPr="008D17CC">
        <w:rPr>
          <w:bCs/>
        </w:rPr>
        <w:t>112</w:t>
      </w:r>
      <w:r w:rsidRPr="008D17CC">
        <w:t>(6), 1083-1091.</w:t>
      </w:r>
    </w:p>
    <w:sectPr w:rsidR="00F9213C" w:rsidRPr="008D1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B27"/>
    <w:multiLevelType w:val="multilevel"/>
    <w:tmpl w:val="C5DC3C7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EE71D5"/>
    <w:multiLevelType w:val="hybridMultilevel"/>
    <w:tmpl w:val="AB4633B2"/>
    <w:lvl w:ilvl="0" w:tplc="B764236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CC"/>
    <w:rsid w:val="000073A3"/>
    <w:rsid w:val="0002312E"/>
    <w:rsid w:val="00025856"/>
    <w:rsid w:val="000379B2"/>
    <w:rsid w:val="00075BA7"/>
    <w:rsid w:val="000767B7"/>
    <w:rsid w:val="00080623"/>
    <w:rsid w:val="00080FE2"/>
    <w:rsid w:val="00084B5E"/>
    <w:rsid w:val="000904D8"/>
    <w:rsid w:val="000A0887"/>
    <w:rsid w:val="000B0616"/>
    <w:rsid w:val="000B37A3"/>
    <w:rsid w:val="000B7AEF"/>
    <w:rsid w:val="000C0DC9"/>
    <w:rsid w:val="000C6C8A"/>
    <w:rsid w:val="000D09F9"/>
    <w:rsid w:val="000F4CD1"/>
    <w:rsid w:val="0010332C"/>
    <w:rsid w:val="001301CF"/>
    <w:rsid w:val="00136C58"/>
    <w:rsid w:val="00151EC8"/>
    <w:rsid w:val="00152BAD"/>
    <w:rsid w:val="00153631"/>
    <w:rsid w:val="001707A7"/>
    <w:rsid w:val="00190054"/>
    <w:rsid w:val="00190F18"/>
    <w:rsid w:val="0019100D"/>
    <w:rsid w:val="00196F4B"/>
    <w:rsid w:val="001976CF"/>
    <w:rsid w:val="001B410C"/>
    <w:rsid w:val="001B75FA"/>
    <w:rsid w:val="001D46B6"/>
    <w:rsid w:val="001E6E86"/>
    <w:rsid w:val="001F02D2"/>
    <w:rsid w:val="00216564"/>
    <w:rsid w:val="002209A8"/>
    <w:rsid w:val="00232DD7"/>
    <w:rsid w:val="00234711"/>
    <w:rsid w:val="0024032A"/>
    <w:rsid w:val="0025224F"/>
    <w:rsid w:val="00255068"/>
    <w:rsid w:val="00256573"/>
    <w:rsid w:val="00275B75"/>
    <w:rsid w:val="002844BC"/>
    <w:rsid w:val="00286D76"/>
    <w:rsid w:val="002926FF"/>
    <w:rsid w:val="00297F75"/>
    <w:rsid w:val="002B1E91"/>
    <w:rsid w:val="002B63DD"/>
    <w:rsid w:val="002C2054"/>
    <w:rsid w:val="002C2351"/>
    <w:rsid w:val="002C33C4"/>
    <w:rsid w:val="002D166E"/>
    <w:rsid w:val="002E1600"/>
    <w:rsid w:val="002F314A"/>
    <w:rsid w:val="002F65BD"/>
    <w:rsid w:val="003037A5"/>
    <w:rsid w:val="00310362"/>
    <w:rsid w:val="00320FA6"/>
    <w:rsid w:val="00340B1B"/>
    <w:rsid w:val="00354A68"/>
    <w:rsid w:val="00357EAE"/>
    <w:rsid w:val="0036210D"/>
    <w:rsid w:val="00366355"/>
    <w:rsid w:val="00371B41"/>
    <w:rsid w:val="0037561F"/>
    <w:rsid w:val="0038534F"/>
    <w:rsid w:val="00391197"/>
    <w:rsid w:val="00394DC1"/>
    <w:rsid w:val="00397499"/>
    <w:rsid w:val="003A1F18"/>
    <w:rsid w:val="003A326B"/>
    <w:rsid w:val="003A663E"/>
    <w:rsid w:val="003B1115"/>
    <w:rsid w:val="003B7A54"/>
    <w:rsid w:val="003E07A3"/>
    <w:rsid w:val="003F0256"/>
    <w:rsid w:val="003F31BF"/>
    <w:rsid w:val="004038D1"/>
    <w:rsid w:val="004108F3"/>
    <w:rsid w:val="00430924"/>
    <w:rsid w:val="00433889"/>
    <w:rsid w:val="004353D4"/>
    <w:rsid w:val="00436546"/>
    <w:rsid w:val="004371C5"/>
    <w:rsid w:val="00451384"/>
    <w:rsid w:val="004518B7"/>
    <w:rsid w:val="00463ECC"/>
    <w:rsid w:val="004641A4"/>
    <w:rsid w:val="00470E8F"/>
    <w:rsid w:val="00471A07"/>
    <w:rsid w:val="004761DC"/>
    <w:rsid w:val="004766FC"/>
    <w:rsid w:val="00487AE4"/>
    <w:rsid w:val="00487C56"/>
    <w:rsid w:val="004942C2"/>
    <w:rsid w:val="004A098C"/>
    <w:rsid w:val="004A2A32"/>
    <w:rsid w:val="004B7B91"/>
    <w:rsid w:val="004C1078"/>
    <w:rsid w:val="004C6F9D"/>
    <w:rsid w:val="004E0A2C"/>
    <w:rsid w:val="004E5C32"/>
    <w:rsid w:val="004E61C1"/>
    <w:rsid w:val="004E6D32"/>
    <w:rsid w:val="004F134D"/>
    <w:rsid w:val="004F3D77"/>
    <w:rsid w:val="00512AE4"/>
    <w:rsid w:val="00520A3E"/>
    <w:rsid w:val="005217E4"/>
    <w:rsid w:val="00522C3C"/>
    <w:rsid w:val="0052530D"/>
    <w:rsid w:val="00525D8A"/>
    <w:rsid w:val="00526610"/>
    <w:rsid w:val="00531EDF"/>
    <w:rsid w:val="00553239"/>
    <w:rsid w:val="00557E0C"/>
    <w:rsid w:val="00560DA0"/>
    <w:rsid w:val="00566886"/>
    <w:rsid w:val="00570F42"/>
    <w:rsid w:val="00573AE9"/>
    <w:rsid w:val="00573F66"/>
    <w:rsid w:val="00574EA0"/>
    <w:rsid w:val="005A3BCF"/>
    <w:rsid w:val="005B1002"/>
    <w:rsid w:val="005B19A1"/>
    <w:rsid w:val="005B23A1"/>
    <w:rsid w:val="005C38BD"/>
    <w:rsid w:val="005D4913"/>
    <w:rsid w:val="005D5187"/>
    <w:rsid w:val="005D54B1"/>
    <w:rsid w:val="005D59A5"/>
    <w:rsid w:val="005D70B1"/>
    <w:rsid w:val="005D7F50"/>
    <w:rsid w:val="005E29A5"/>
    <w:rsid w:val="005E3563"/>
    <w:rsid w:val="00600E57"/>
    <w:rsid w:val="0060573A"/>
    <w:rsid w:val="00611887"/>
    <w:rsid w:val="00616AA9"/>
    <w:rsid w:val="00620646"/>
    <w:rsid w:val="00631C3B"/>
    <w:rsid w:val="00643A70"/>
    <w:rsid w:val="006501B0"/>
    <w:rsid w:val="00657556"/>
    <w:rsid w:val="00671D15"/>
    <w:rsid w:val="00675F1D"/>
    <w:rsid w:val="006806B5"/>
    <w:rsid w:val="00682A67"/>
    <w:rsid w:val="006843B8"/>
    <w:rsid w:val="0069600F"/>
    <w:rsid w:val="006A6D41"/>
    <w:rsid w:val="006B466B"/>
    <w:rsid w:val="006B5A5C"/>
    <w:rsid w:val="006C3880"/>
    <w:rsid w:val="006C56C0"/>
    <w:rsid w:val="006C72D3"/>
    <w:rsid w:val="006D6107"/>
    <w:rsid w:val="006E7052"/>
    <w:rsid w:val="006E73BB"/>
    <w:rsid w:val="006F59F2"/>
    <w:rsid w:val="006F5A4B"/>
    <w:rsid w:val="00707AE6"/>
    <w:rsid w:val="00714FE3"/>
    <w:rsid w:val="0073257F"/>
    <w:rsid w:val="007438F1"/>
    <w:rsid w:val="00745ACA"/>
    <w:rsid w:val="00754018"/>
    <w:rsid w:val="00756000"/>
    <w:rsid w:val="007637C9"/>
    <w:rsid w:val="0076448F"/>
    <w:rsid w:val="00767212"/>
    <w:rsid w:val="00772329"/>
    <w:rsid w:val="00782560"/>
    <w:rsid w:val="00792ED4"/>
    <w:rsid w:val="00794E96"/>
    <w:rsid w:val="00797333"/>
    <w:rsid w:val="007A23A9"/>
    <w:rsid w:val="007B0941"/>
    <w:rsid w:val="007B7C04"/>
    <w:rsid w:val="007C20BC"/>
    <w:rsid w:val="007C3404"/>
    <w:rsid w:val="007C46C0"/>
    <w:rsid w:val="007C50A5"/>
    <w:rsid w:val="007D0A52"/>
    <w:rsid w:val="007D0CF9"/>
    <w:rsid w:val="007D21EF"/>
    <w:rsid w:val="007D3712"/>
    <w:rsid w:val="007D692B"/>
    <w:rsid w:val="007D6995"/>
    <w:rsid w:val="007D7A34"/>
    <w:rsid w:val="007E796E"/>
    <w:rsid w:val="007F3D96"/>
    <w:rsid w:val="007F406B"/>
    <w:rsid w:val="007F40E0"/>
    <w:rsid w:val="00800C91"/>
    <w:rsid w:val="0080357C"/>
    <w:rsid w:val="00803D46"/>
    <w:rsid w:val="008121BF"/>
    <w:rsid w:val="00822757"/>
    <w:rsid w:val="0083483D"/>
    <w:rsid w:val="008623C3"/>
    <w:rsid w:val="008744C4"/>
    <w:rsid w:val="00882388"/>
    <w:rsid w:val="00885CE9"/>
    <w:rsid w:val="00886087"/>
    <w:rsid w:val="008B232C"/>
    <w:rsid w:val="008B5710"/>
    <w:rsid w:val="008B72B2"/>
    <w:rsid w:val="008D17CC"/>
    <w:rsid w:val="008D2939"/>
    <w:rsid w:val="008D30B8"/>
    <w:rsid w:val="008D7452"/>
    <w:rsid w:val="008E6CB1"/>
    <w:rsid w:val="008F0721"/>
    <w:rsid w:val="008F17A3"/>
    <w:rsid w:val="008F1E51"/>
    <w:rsid w:val="008F7A90"/>
    <w:rsid w:val="00900628"/>
    <w:rsid w:val="00901814"/>
    <w:rsid w:val="00903114"/>
    <w:rsid w:val="00904C90"/>
    <w:rsid w:val="00906741"/>
    <w:rsid w:val="00912DD3"/>
    <w:rsid w:val="00913037"/>
    <w:rsid w:val="009230A3"/>
    <w:rsid w:val="00926D7B"/>
    <w:rsid w:val="00932CC3"/>
    <w:rsid w:val="00955D4F"/>
    <w:rsid w:val="00963686"/>
    <w:rsid w:val="009805EA"/>
    <w:rsid w:val="009A1DB9"/>
    <w:rsid w:val="009A6D87"/>
    <w:rsid w:val="009B5F93"/>
    <w:rsid w:val="009C3913"/>
    <w:rsid w:val="009D0167"/>
    <w:rsid w:val="009D2EA2"/>
    <w:rsid w:val="009D52E4"/>
    <w:rsid w:val="009D62C9"/>
    <w:rsid w:val="009E16C0"/>
    <w:rsid w:val="00A15678"/>
    <w:rsid w:val="00A20E00"/>
    <w:rsid w:val="00A2383E"/>
    <w:rsid w:val="00A23C9D"/>
    <w:rsid w:val="00A303F7"/>
    <w:rsid w:val="00A3683B"/>
    <w:rsid w:val="00A43276"/>
    <w:rsid w:val="00A52B83"/>
    <w:rsid w:val="00A57F6D"/>
    <w:rsid w:val="00A603F3"/>
    <w:rsid w:val="00A666A0"/>
    <w:rsid w:val="00A70290"/>
    <w:rsid w:val="00A8558B"/>
    <w:rsid w:val="00A867FD"/>
    <w:rsid w:val="00A94627"/>
    <w:rsid w:val="00A94967"/>
    <w:rsid w:val="00AA23D7"/>
    <w:rsid w:val="00AA53F6"/>
    <w:rsid w:val="00AA62D8"/>
    <w:rsid w:val="00AB76C8"/>
    <w:rsid w:val="00AC4FE1"/>
    <w:rsid w:val="00AC744A"/>
    <w:rsid w:val="00B02B4C"/>
    <w:rsid w:val="00B135DC"/>
    <w:rsid w:val="00B14105"/>
    <w:rsid w:val="00B243E5"/>
    <w:rsid w:val="00B30BEF"/>
    <w:rsid w:val="00B36110"/>
    <w:rsid w:val="00B36C52"/>
    <w:rsid w:val="00B42C7D"/>
    <w:rsid w:val="00B45251"/>
    <w:rsid w:val="00B45698"/>
    <w:rsid w:val="00B60F2B"/>
    <w:rsid w:val="00B66E1D"/>
    <w:rsid w:val="00B73496"/>
    <w:rsid w:val="00B75F18"/>
    <w:rsid w:val="00B87164"/>
    <w:rsid w:val="00BA3802"/>
    <w:rsid w:val="00BA4C07"/>
    <w:rsid w:val="00BB070F"/>
    <w:rsid w:val="00BC257A"/>
    <w:rsid w:val="00BC5D44"/>
    <w:rsid w:val="00BF4A7A"/>
    <w:rsid w:val="00C05E3C"/>
    <w:rsid w:val="00C07B1F"/>
    <w:rsid w:val="00C108A6"/>
    <w:rsid w:val="00C11B30"/>
    <w:rsid w:val="00C3341D"/>
    <w:rsid w:val="00C34497"/>
    <w:rsid w:val="00C36EC1"/>
    <w:rsid w:val="00C4147D"/>
    <w:rsid w:val="00C436E4"/>
    <w:rsid w:val="00C43EE0"/>
    <w:rsid w:val="00C46F53"/>
    <w:rsid w:val="00C642F9"/>
    <w:rsid w:val="00C65142"/>
    <w:rsid w:val="00C65EFF"/>
    <w:rsid w:val="00C810E0"/>
    <w:rsid w:val="00C900E8"/>
    <w:rsid w:val="00C927A0"/>
    <w:rsid w:val="00CB7C3E"/>
    <w:rsid w:val="00CC7A97"/>
    <w:rsid w:val="00CD2567"/>
    <w:rsid w:val="00CD503F"/>
    <w:rsid w:val="00CD5376"/>
    <w:rsid w:val="00CD5BDC"/>
    <w:rsid w:val="00CF4068"/>
    <w:rsid w:val="00D06D7A"/>
    <w:rsid w:val="00D07467"/>
    <w:rsid w:val="00D22F7A"/>
    <w:rsid w:val="00D3234A"/>
    <w:rsid w:val="00D32E34"/>
    <w:rsid w:val="00D54D40"/>
    <w:rsid w:val="00D5644A"/>
    <w:rsid w:val="00D57887"/>
    <w:rsid w:val="00D63EE8"/>
    <w:rsid w:val="00D67533"/>
    <w:rsid w:val="00D74B3E"/>
    <w:rsid w:val="00D80198"/>
    <w:rsid w:val="00D857A4"/>
    <w:rsid w:val="00D91FB2"/>
    <w:rsid w:val="00D93B49"/>
    <w:rsid w:val="00D948CD"/>
    <w:rsid w:val="00D96AE0"/>
    <w:rsid w:val="00DB0472"/>
    <w:rsid w:val="00DB63D4"/>
    <w:rsid w:val="00DC056A"/>
    <w:rsid w:val="00DD1D8A"/>
    <w:rsid w:val="00DE08D5"/>
    <w:rsid w:val="00DE44D9"/>
    <w:rsid w:val="00DF2114"/>
    <w:rsid w:val="00E03000"/>
    <w:rsid w:val="00E04399"/>
    <w:rsid w:val="00E067ED"/>
    <w:rsid w:val="00E16509"/>
    <w:rsid w:val="00E17624"/>
    <w:rsid w:val="00E33CDD"/>
    <w:rsid w:val="00E417EC"/>
    <w:rsid w:val="00E50BB2"/>
    <w:rsid w:val="00E55FF3"/>
    <w:rsid w:val="00E67BC3"/>
    <w:rsid w:val="00E74A6C"/>
    <w:rsid w:val="00E75438"/>
    <w:rsid w:val="00E8176A"/>
    <w:rsid w:val="00E95E4D"/>
    <w:rsid w:val="00EA2894"/>
    <w:rsid w:val="00EA51EC"/>
    <w:rsid w:val="00EB2DDF"/>
    <w:rsid w:val="00EB3E89"/>
    <w:rsid w:val="00EC2221"/>
    <w:rsid w:val="00ED1ABF"/>
    <w:rsid w:val="00EE19F5"/>
    <w:rsid w:val="00EE786F"/>
    <w:rsid w:val="00EF7E08"/>
    <w:rsid w:val="00F16ED5"/>
    <w:rsid w:val="00F230F1"/>
    <w:rsid w:val="00F25252"/>
    <w:rsid w:val="00F41F64"/>
    <w:rsid w:val="00F442FB"/>
    <w:rsid w:val="00F44A8B"/>
    <w:rsid w:val="00F6427F"/>
    <w:rsid w:val="00F704D6"/>
    <w:rsid w:val="00F751B3"/>
    <w:rsid w:val="00F8144B"/>
    <w:rsid w:val="00F829F3"/>
    <w:rsid w:val="00F9213C"/>
    <w:rsid w:val="00F96E24"/>
    <w:rsid w:val="00FA5240"/>
    <w:rsid w:val="00FA5437"/>
    <w:rsid w:val="00FC1B33"/>
    <w:rsid w:val="00FC1EF5"/>
    <w:rsid w:val="00FF38A6"/>
    <w:rsid w:val="00FF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B6C4"/>
  <w15:chartTrackingRefBased/>
  <w15:docId w15:val="{F3CC8191-49A1-4FB6-933A-29329AFA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1Light">
    <w:name w:val="List Table 1 Light"/>
    <w:basedOn w:val="TableNormal"/>
    <w:uiPriority w:val="46"/>
    <w:rsid w:val="00574EA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D32E3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D62C9"/>
    <w:pPr>
      <w:spacing w:after="0" w:line="240" w:lineRule="auto"/>
      <w:ind w:left="720"/>
      <w:contextualSpacing/>
    </w:pPr>
    <w:rPr>
      <w:rFonts w:ascii="Times New Roman" w:eastAsia="Times New Roman" w:hAnsi="Times New Roman" w:cs="Times New Roman"/>
      <w:sz w:val="24"/>
      <w:szCs w:val="24"/>
    </w:rPr>
  </w:style>
  <w:style w:type="character" w:customStyle="1" w:styleId="hlfld-contribauthor">
    <w:name w:val="hlfld-contribauthor"/>
    <w:basedOn w:val="DefaultParagraphFont"/>
    <w:rsid w:val="009D62C9"/>
  </w:style>
  <w:style w:type="character" w:customStyle="1" w:styleId="nlmgiven-names">
    <w:name w:val="nlm_given-names"/>
    <w:basedOn w:val="DefaultParagraphFont"/>
    <w:rsid w:val="009D62C9"/>
  </w:style>
  <w:style w:type="character" w:customStyle="1" w:styleId="nlmyear">
    <w:name w:val="nlm_year"/>
    <w:basedOn w:val="DefaultParagraphFont"/>
    <w:rsid w:val="009D62C9"/>
  </w:style>
  <w:style w:type="character" w:customStyle="1" w:styleId="nlmarticle-title">
    <w:name w:val="nlm_article-title"/>
    <w:basedOn w:val="DefaultParagraphFont"/>
    <w:rsid w:val="009D62C9"/>
  </w:style>
  <w:style w:type="character" w:customStyle="1" w:styleId="nlmfpage">
    <w:name w:val="nlm_fpage"/>
    <w:basedOn w:val="DefaultParagraphFont"/>
    <w:rsid w:val="009D62C9"/>
  </w:style>
  <w:style w:type="character" w:customStyle="1" w:styleId="nlmlpage">
    <w:name w:val="nlm_lpage"/>
    <w:basedOn w:val="DefaultParagraphFont"/>
    <w:rsid w:val="009D62C9"/>
  </w:style>
  <w:style w:type="character" w:customStyle="1" w:styleId="value">
    <w:name w:val="value"/>
    <w:basedOn w:val="DefaultParagraphFont"/>
    <w:rsid w:val="009D62C9"/>
  </w:style>
  <w:style w:type="character" w:styleId="CommentReference">
    <w:name w:val="annotation reference"/>
    <w:basedOn w:val="DefaultParagraphFont"/>
    <w:uiPriority w:val="99"/>
    <w:semiHidden/>
    <w:unhideWhenUsed/>
    <w:rsid w:val="00297F75"/>
    <w:rPr>
      <w:sz w:val="16"/>
      <w:szCs w:val="16"/>
    </w:rPr>
  </w:style>
  <w:style w:type="paragraph" w:styleId="CommentText">
    <w:name w:val="annotation text"/>
    <w:basedOn w:val="Normal"/>
    <w:link w:val="CommentTextChar"/>
    <w:uiPriority w:val="99"/>
    <w:semiHidden/>
    <w:unhideWhenUsed/>
    <w:rsid w:val="00297F75"/>
    <w:pPr>
      <w:spacing w:line="240" w:lineRule="auto"/>
    </w:pPr>
    <w:rPr>
      <w:sz w:val="20"/>
      <w:szCs w:val="20"/>
    </w:rPr>
  </w:style>
  <w:style w:type="character" w:customStyle="1" w:styleId="CommentTextChar">
    <w:name w:val="Comment Text Char"/>
    <w:basedOn w:val="DefaultParagraphFont"/>
    <w:link w:val="CommentText"/>
    <w:uiPriority w:val="99"/>
    <w:semiHidden/>
    <w:rsid w:val="00297F75"/>
    <w:rPr>
      <w:sz w:val="20"/>
      <w:szCs w:val="20"/>
    </w:rPr>
  </w:style>
  <w:style w:type="paragraph" w:styleId="CommentSubject">
    <w:name w:val="annotation subject"/>
    <w:basedOn w:val="CommentText"/>
    <w:next w:val="CommentText"/>
    <w:link w:val="CommentSubjectChar"/>
    <w:uiPriority w:val="99"/>
    <w:semiHidden/>
    <w:unhideWhenUsed/>
    <w:rsid w:val="00297F75"/>
    <w:rPr>
      <w:b/>
      <w:bCs/>
    </w:rPr>
  </w:style>
  <w:style w:type="character" w:customStyle="1" w:styleId="CommentSubjectChar">
    <w:name w:val="Comment Subject Char"/>
    <w:basedOn w:val="CommentTextChar"/>
    <w:link w:val="CommentSubject"/>
    <w:uiPriority w:val="99"/>
    <w:semiHidden/>
    <w:rsid w:val="00297F75"/>
    <w:rPr>
      <w:b/>
      <w:bCs/>
      <w:sz w:val="20"/>
      <w:szCs w:val="20"/>
    </w:rPr>
  </w:style>
  <w:style w:type="paragraph" w:styleId="BalloonText">
    <w:name w:val="Balloon Text"/>
    <w:basedOn w:val="Normal"/>
    <w:link w:val="BalloonTextChar"/>
    <w:uiPriority w:val="99"/>
    <w:semiHidden/>
    <w:unhideWhenUsed/>
    <w:rsid w:val="00297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75"/>
    <w:rPr>
      <w:rFonts w:ascii="Segoe UI" w:hAnsi="Segoe UI" w:cs="Segoe UI"/>
      <w:sz w:val="18"/>
      <w:szCs w:val="18"/>
    </w:rPr>
  </w:style>
  <w:style w:type="character" w:styleId="Hyperlink">
    <w:name w:val="Hyperlink"/>
    <w:basedOn w:val="DefaultParagraphFont"/>
    <w:uiPriority w:val="99"/>
    <w:unhideWhenUsed/>
    <w:rsid w:val="005D70B1"/>
    <w:rPr>
      <w:color w:val="0563C1" w:themeColor="hyperlink"/>
      <w:u w:val="single"/>
    </w:rPr>
  </w:style>
  <w:style w:type="character" w:styleId="UnresolvedMention">
    <w:name w:val="Unresolved Mention"/>
    <w:basedOn w:val="DefaultParagraphFont"/>
    <w:uiPriority w:val="99"/>
    <w:semiHidden/>
    <w:unhideWhenUsed/>
    <w:rsid w:val="005D70B1"/>
    <w:rPr>
      <w:color w:val="605E5C"/>
      <w:shd w:val="clear" w:color="auto" w:fill="E1DFDD"/>
    </w:rPr>
  </w:style>
  <w:style w:type="character" w:styleId="FollowedHyperlink">
    <w:name w:val="FollowedHyperlink"/>
    <w:basedOn w:val="DefaultParagraphFont"/>
    <w:uiPriority w:val="99"/>
    <w:semiHidden/>
    <w:unhideWhenUsed/>
    <w:rsid w:val="00DF2114"/>
    <w:rPr>
      <w:color w:val="954F72" w:themeColor="followedHyperlink"/>
      <w:u w:val="single"/>
    </w:rPr>
  </w:style>
  <w:style w:type="paragraph" w:customStyle="1" w:styleId="APAcentretitle">
    <w:name w:val="APA centre title"/>
    <w:basedOn w:val="Normal"/>
    <w:rsid w:val="00BA3802"/>
    <w:pPr>
      <w:spacing w:after="0" w:line="480" w:lineRule="auto"/>
      <w:jc w:val="center"/>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rsid w:val="00255068"/>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255068"/>
    <w:rPr>
      <w:rFonts w:ascii="Calibri" w:hAnsi="Calibri"/>
      <w:szCs w:val="21"/>
      <w:lang w:val="en-US"/>
    </w:rPr>
  </w:style>
  <w:style w:type="paragraph" w:styleId="BodyText">
    <w:name w:val="Body Text"/>
    <w:basedOn w:val="Normal"/>
    <w:link w:val="BodyTextChar"/>
    <w:rsid w:val="008B571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8B571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6905">
      <w:bodyDiv w:val="1"/>
      <w:marLeft w:val="0"/>
      <w:marRight w:val="0"/>
      <w:marTop w:val="0"/>
      <w:marBottom w:val="0"/>
      <w:divBdr>
        <w:top w:val="none" w:sz="0" w:space="0" w:color="auto"/>
        <w:left w:val="none" w:sz="0" w:space="0" w:color="auto"/>
        <w:bottom w:val="none" w:sz="0" w:space="0" w:color="auto"/>
        <w:right w:val="none" w:sz="0" w:space="0" w:color="auto"/>
      </w:divBdr>
    </w:div>
    <w:div w:id="1094278365">
      <w:bodyDiv w:val="1"/>
      <w:marLeft w:val="0"/>
      <w:marRight w:val="0"/>
      <w:marTop w:val="0"/>
      <w:marBottom w:val="0"/>
      <w:divBdr>
        <w:top w:val="none" w:sz="0" w:space="0" w:color="auto"/>
        <w:left w:val="none" w:sz="0" w:space="0" w:color="auto"/>
        <w:bottom w:val="none" w:sz="0" w:space="0" w:color="auto"/>
        <w:right w:val="none" w:sz="0" w:space="0" w:color="auto"/>
      </w:divBdr>
    </w:div>
    <w:div w:id="11807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hyperlink" Target="mailto:eddie.bradley@sunderlan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CD41F25E4F841B7465666BEF96F6A" ma:contentTypeVersion="14" ma:contentTypeDescription="Create a new document." ma:contentTypeScope="" ma:versionID="e726ae4b9efb72d10f523c6aaf944abf">
  <xsd:schema xmlns:xsd="http://www.w3.org/2001/XMLSchema" xmlns:xs="http://www.w3.org/2001/XMLSchema" xmlns:p="http://schemas.microsoft.com/office/2006/metadata/properties" xmlns:ns3="418918b8-5039-43b6-b6ad-7f640a1bac76" xmlns:ns4="abc8bb0f-713c-46e5-bf39-38e726f0883b" targetNamespace="http://schemas.microsoft.com/office/2006/metadata/properties" ma:root="true" ma:fieldsID="ba0a75c79fa09ec264a1d2d887f88f8f" ns3:_="" ns4:_="">
    <xsd:import namespace="418918b8-5039-43b6-b6ad-7f640a1bac76"/>
    <xsd:import namespace="abc8bb0f-713c-46e5-bf39-38e726f088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18b8-5039-43b6-b6ad-7f640a1b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8bb0f-713c-46e5-bf39-38e726f088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BF87-53A3-4E7D-9758-30E8B9F84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18b8-5039-43b6-b6ad-7f640a1bac76"/>
    <ds:schemaRef ds:uri="abc8bb0f-713c-46e5-bf39-38e726f08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8F54E-7F00-4A1D-979E-023515EC5279}">
  <ds:schemaRefs>
    <ds:schemaRef ds:uri="http://schemas.microsoft.com/sharepoint/v3/contenttype/forms"/>
  </ds:schemaRefs>
</ds:datastoreItem>
</file>

<file path=customXml/itemProps3.xml><?xml version="1.0" encoding="utf-8"?>
<ds:datastoreItem xmlns:ds="http://schemas.openxmlformats.org/officeDocument/2006/customXml" ds:itemID="{D14E0BB6-E572-4540-8FE3-5755FB9F09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5DE72-A042-4A7A-B4CC-2504F1B2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8730</Words>
  <Characters>49763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58377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Bradley (Staff)</dc:creator>
  <cp:keywords/>
  <dc:description/>
  <cp:lastModifiedBy>Eddie Bradley (Staff)</cp:lastModifiedBy>
  <cp:revision>2</cp:revision>
  <dcterms:created xsi:type="dcterms:W3CDTF">2022-03-07T14:41:00Z</dcterms:created>
  <dcterms:modified xsi:type="dcterms:W3CDTF">2022-03-07T14:41:00Z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0x010100E7CCD41F25E4F841B7465666BEF96F6A</vt:lpwstr>
  </property>
</Properties>
</file>